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7A3D96C5" w14:textId="77777777" w:rsidR="00047E7B" w:rsidRDefault="00047E7B" w:rsidP="00047E7B"/>
    <w:p w14:paraId="23690C3E" w14:textId="54621144" w:rsidR="00047E7B" w:rsidRPr="00047E7B" w:rsidRDefault="00047E7B" w:rsidP="0AF15370">
      <w:pPr>
        <w:jc w:val="center"/>
        <w:rPr>
          <w:u w:val="single"/>
        </w:rPr>
      </w:pPr>
      <w:r w:rsidRPr="0AF15370">
        <w:rPr>
          <w:u w:val="single"/>
        </w:rPr>
        <w:t>Connaissance des marchés de la Banque des Territoires</w:t>
      </w: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2"/>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EastAsia" w:hAnsiTheme="minorHAnsi" w:cstheme="minorBid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416914"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416914"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416914"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416914"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416914"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416914"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416914"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416914"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416914"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4F895DB2">
      <w:pPr>
        <w:pStyle w:val="Paragraphedeliste"/>
        <w:numPr>
          <w:ilvl w:val="0"/>
          <w:numId w:val="5"/>
        </w:numPr>
        <w:spacing w:after="0"/>
        <w:jc w:val="both"/>
        <w:rPr>
          <w:sz w:val="20"/>
          <w:szCs w:val="20"/>
        </w:rPr>
      </w:pPr>
      <w:r w:rsidRPr="4F895DB2">
        <w:rPr>
          <w:sz w:val="20"/>
          <w:szCs w:val="20"/>
        </w:rPr>
        <w:lastRenderedPageBreak/>
        <w:t xml:space="preserve">Une fois que les annexes mentionnées au point </w:t>
      </w:r>
      <w:bookmarkStart w:id="7" w:name="_Int_jlZEHFla"/>
      <w:r w:rsidRPr="4F895DB2">
        <w:rPr>
          <w:sz w:val="20"/>
          <w:szCs w:val="20"/>
        </w:rPr>
        <w:t>a</w:t>
      </w:r>
      <w:bookmarkEnd w:id="7"/>
      <w:r w:rsidRPr="4F895DB2">
        <w:rPr>
          <w:sz w:val="20"/>
          <w:szCs w:val="20"/>
        </w:rPr>
        <w:t>) sont complétées et signées, l</w:t>
      </w:r>
      <w:r w:rsidR="00B335ED" w:rsidRPr="4F895DB2">
        <w:rPr>
          <w:sz w:val="20"/>
          <w:szCs w:val="20"/>
        </w:rPr>
        <w:t>’</w:t>
      </w:r>
      <w:r w:rsidRPr="4F895DB2">
        <w:rPr>
          <w:sz w:val="20"/>
          <w:szCs w:val="20"/>
        </w:rPr>
        <w:t>entité adhérente est considérée comme une partie aux présentes clauses et jouit des droits et est soumise aux obligations d</w:t>
      </w:r>
      <w:r w:rsidR="00B335ED" w:rsidRPr="4F895DB2">
        <w:rPr>
          <w:sz w:val="20"/>
          <w:szCs w:val="20"/>
        </w:rPr>
        <w:t>’</w:t>
      </w:r>
      <w:r w:rsidRPr="4F895DB2">
        <w:rPr>
          <w:sz w:val="20"/>
          <w:szCs w:val="20"/>
        </w:rPr>
        <w:t>un responsable du traitement ou d</w:t>
      </w:r>
      <w:r w:rsidR="00B335ED" w:rsidRPr="4F895DB2">
        <w:rPr>
          <w:sz w:val="20"/>
          <w:szCs w:val="20"/>
        </w:rPr>
        <w:t>’</w:t>
      </w:r>
      <w:r w:rsidRPr="4F895DB2">
        <w:rPr>
          <w:sz w:val="20"/>
          <w:szCs w:val="20"/>
        </w:rPr>
        <w:t>un sous-traitant, conformément à sa désignation à l</w:t>
      </w:r>
      <w:r w:rsidR="00B335ED" w:rsidRPr="4F895DB2">
        <w:rPr>
          <w:sz w:val="20"/>
          <w:szCs w:val="20"/>
        </w:rPr>
        <w:t>’</w:t>
      </w:r>
      <w:r w:rsidRPr="4F895DB2">
        <w:rPr>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8"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9"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9"/>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10"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10"/>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1" w:name="_Toc160105145"/>
      <w:r w:rsidRPr="00452029">
        <w:rPr>
          <w:rFonts w:asciiTheme="minorHAnsi" w:hAnsiTheme="minorHAnsi" w:cstheme="minorHAnsi"/>
          <w:sz w:val="20"/>
          <w:szCs w:val="20"/>
        </w:rPr>
        <w:t>7.1.   Instructions</w:t>
      </w:r>
      <w:bookmarkEnd w:id="11"/>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2" w:name="_Toc160105146"/>
      <w:r w:rsidRPr="00452029">
        <w:rPr>
          <w:rFonts w:asciiTheme="minorHAnsi" w:hAnsiTheme="minorHAnsi" w:cstheme="minorHAnsi"/>
          <w:sz w:val="20"/>
          <w:szCs w:val="20"/>
        </w:rPr>
        <w:t>7.2.   Limitation de la finalité</w:t>
      </w:r>
      <w:bookmarkEnd w:id="12"/>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3" w:name="_Toc160105147"/>
      <w:r w:rsidRPr="00452029">
        <w:rPr>
          <w:rFonts w:asciiTheme="minorHAnsi" w:hAnsiTheme="minorHAnsi" w:cstheme="minorHAnsi"/>
          <w:sz w:val="20"/>
          <w:szCs w:val="20"/>
        </w:rPr>
        <w:t>7.3.   Durée du traitement des données à caractère personnel</w:t>
      </w:r>
      <w:bookmarkEnd w:id="13"/>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4" w:name="_Toc160105148"/>
      <w:r w:rsidRPr="00452029">
        <w:rPr>
          <w:rFonts w:asciiTheme="minorHAnsi" w:hAnsiTheme="minorHAnsi" w:cstheme="minorHAnsi"/>
          <w:sz w:val="20"/>
          <w:szCs w:val="20"/>
        </w:rPr>
        <w:t>7.4.   Sécurité du traitement</w:t>
      </w:r>
      <w:bookmarkEnd w:id="14"/>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5" w:name="_Toc160105149"/>
      <w:r w:rsidRPr="00452029">
        <w:rPr>
          <w:rFonts w:asciiTheme="minorHAnsi" w:hAnsiTheme="minorHAnsi" w:cstheme="minorHAnsi"/>
          <w:sz w:val="20"/>
          <w:szCs w:val="20"/>
        </w:rPr>
        <w:t>7.5.   Données sensibles</w:t>
      </w:r>
      <w:bookmarkEnd w:id="15"/>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6" w:name="_Toc160105150"/>
      <w:r w:rsidRPr="00452029">
        <w:rPr>
          <w:rFonts w:asciiTheme="minorHAnsi" w:hAnsiTheme="minorHAnsi" w:cstheme="minorHAnsi"/>
          <w:sz w:val="20"/>
          <w:szCs w:val="20"/>
        </w:rPr>
        <w:t>7.6.   Documentation et conformité</w:t>
      </w:r>
      <w:bookmarkEnd w:id="16"/>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7"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7"/>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8" w:name="_Toc160105151"/>
      <w:r w:rsidRPr="00452029">
        <w:rPr>
          <w:rFonts w:asciiTheme="minorHAnsi" w:hAnsiTheme="minorHAnsi" w:cstheme="minorHAnsi"/>
          <w:sz w:val="20"/>
          <w:szCs w:val="20"/>
        </w:rPr>
        <w:t>7.7.   Recours à des sous-traitants ultérieurs</w:t>
      </w:r>
      <w:bookmarkEnd w:id="18"/>
    </w:p>
    <w:p w14:paraId="46204992" w14:textId="77777777" w:rsidR="006F5157" w:rsidRPr="00452029" w:rsidRDefault="006F5157" w:rsidP="00D92205">
      <w:pPr>
        <w:spacing w:after="0"/>
        <w:rPr>
          <w:sz w:val="20"/>
          <w:szCs w:val="20"/>
        </w:rPr>
      </w:pPr>
    </w:p>
    <w:p w14:paraId="2FDD6FA9" w14:textId="2CD1C830" w:rsidR="006F5157" w:rsidRPr="00452029" w:rsidRDefault="003E5569" w:rsidP="00452029">
      <w:pPr>
        <w:pStyle w:val="Paragraphedeliste"/>
        <w:numPr>
          <w:ilvl w:val="0"/>
          <w:numId w:val="12"/>
        </w:numPr>
        <w:spacing w:after="0"/>
        <w:jc w:val="both"/>
        <w:rPr>
          <w:rFonts w:cstheme="minorHAnsi"/>
          <w:sz w:val="20"/>
          <w:szCs w:val="20"/>
        </w:rPr>
      </w:pPr>
      <w:r w:rsidRPr="00FD4262">
        <w:rPr>
          <w:rFonts w:cstheme="minorHAnsi"/>
          <w:sz w:val="20"/>
          <w:szCs w:val="20"/>
        </w:rPr>
        <w:t>OPTION 1</w:t>
      </w:r>
      <w:r w:rsidR="009C7B1A" w:rsidRPr="00FD4262">
        <w:rPr>
          <w:rFonts w:cstheme="minorHAnsi"/>
          <w:sz w:val="20"/>
          <w:szCs w:val="20"/>
        </w:rPr>
        <w:t> : AUTORISATION SPECIFIQUE PREALABLE</w:t>
      </w:r>
      <w:r w:rsidR="007D4E92" w:rsidRPr="00FD4262">
        <w:rPr>
          <w:rFonts w:cstheme="minorHAnsi"/>
          <w:sz w:val="20"/>
          <w:szCs w:val="20"/>
        </w:rPr>
        <w:t xml:space="preserve"> </w:t>
      </w:r>
      <w:r w:rsidRPr="00FD4262">
        <w:rPr>
          <w:rFonts w:cstheme="minorHAnsi"/>
          <w:sz w:val="20"/>
          <w:szCs w:val="20"/>
        </w:rPr>
        <w:t xml:space="preserve">: </w:t>
      </w:r>
      <w:r w:rsidR="006D489D" w:rsidRPr="00FD4262">
        <w:rPr>
          <w:rFonts w:cstheme="minorHAnsi"/>
          <w:sz w:val="20"/>
          <w:szCs w:val="20"/>
        </w:rPr>
        <w:t>L</w:t>
      </w:r>
      <w:r w:rsidR="006F5157" w:rsidRPr="00FD4262">
        <w:rPr>
          <w:rFonts w:cstheme="minorHAnsi"/>
          <w:sz w:val="20"/>
          <w:szCs w:val="20"/>
        </w:rPr>
        <w:t>e sous-traitant n</w:t>
      </w:r>
      <w:r w:rsidR="00B335ED" w:rsidRPr="00FD4262">
        <w:rPr>
          <w:rFonts w:cstheme="minorHAnsi"/>
          <w:sz w:val="20"/>
          <w:szCs w:val="20"/>
        </w:rPr>
        <w:t>’</w:t>
      </w:r>
      <w:r w:rsidR="006F5157" w:rsidRPr="00FD4262">
        <w:rPr>
          <w:rFonts w:cstheme="minorHAnsi"/>
          <w:sz w:val="20"/>
          <w:szCs w:val="20"/>
        </w:rPr>
        <w:t>est pas autorisé à sous-traiter à un sous-traitant ultérieur les opérations de traitement qu</w:t>
      </w:r>
      <w:r w:rsidR="00B335ED" w:rsidRPr="00FD4262">
        <w:rPr>
          <w:rFonts w:cstheme="minorHAnsi"/>
          <w:sz w:val="20"/>
          <w:szCs w:val="20"/>
        </w:rPr>
        <w:t>’</w:t>
      </w:r>
      <w:r w:rsidR="006F5157" w:rsidRPr="00FD4262">
        <w:rPr>
          <w:rFonts w:cstheme="minorHAnsi"/>
          <w:sz w:val="20"/>
          <w:szCs w:val="20"/>
        </w:rPr>
        <w:t>il effectue pour le compte du responsable du traitement en vertu des présentes clauses sans l</w:t>
      </w:r>
      <w:r w:rsidR="00B335ED" w:rsidRPr="00FD4262">
        <w:rPr>
          <w:rFonts w:cstheme="minorHAnsi"/>
          <w:sz w:val="20"/>
          <w:szCs w:val="20"/>
        </w:rPr>
        <w:t>’</w:t>
      </w:r>
      <w:r w:rsidR="006F5157" w:rsidRPr="00FD4262">
        <w:rPr>
          <w:rFonts w:cstheme="minorHAnsi"/>
          <w:sz w:val="20"/>
          <w:szCs w:val="20"/>
        </w:rPr>
        <w:t>autorisation écrite spécifique préalable du responsable du traitement. Le sous-traitant soumet la demande d</w:t>
      </w:r>
      <w:r w:rsidR="00B335ED" w:rsidRPr="00FD4262">
        <w:rPr>
          <w:rFonts w:cstheme="minorHAnsi"/>
          <w:sz w:val="20"/>
          <w:szCs w:val="20"/>
        </w:rPr>
        <w:t>’</w:t>
      </w:r>
      <w:r w:rsidR="006F5157" w:rsidRPr="00FD4262">
        <w:rPr>
          <w:rFonts w:cstheme="minorHAnsi"/>
          <w:sz w:val="20"/>
          <w:szCs w:val="20"/>
        </w:rPr>
        <w:t xml:space="preserve">autorisation spécifique au moins </w:t>
      </w:r>
      <w:r w:rsidR="003960FC" w:rsidRPr="00FD4262">
        <w:rPr>
          <w:rFonts w:cstheme="minorHAnsi"/>
          <w:sz w:val="20"/>
          <w:szCs w:val="20"/>
        </w:rPr>
        <w:t>deux</w:t>
      </w:r>
      <w:r w:rsidR="008E41AC" w:rsidRPr="00FD4262">
        <w:rPr>
          <w:rFonts w:cstheme="minorHAnsi"/>
          <w:sz w:val="20"/>
          <w:szCs w:val="20"/>
        </w:rPr>
        <w:t xml:space="preserve"> </w:t>
      </w:r>
      <w:r w:rsidR="006D489D" w:rsidRPr="00FD4262">
        <w:rPr>
          <w:rFonts w:cstheme="minorHAnsi"/>
          <w:sz w:val="20"/>
          <w:szCs w:val="20"/>
        </w:rPr>
        <w:t>mois</w:t>
      </w:r>
      <w:r w:rsidR="00C80D08" w:rsidRPr="00FD4262">
        <w:rPr>
          <w:rFonts w:cstheme="minorHAnsi"/>
          <w:sz w:val="20"/>
          <w:szCs w:val="20"/>
        </w:rPr>
        <w:t xml:space="preserve"> </w:t>
      </w:r>
      <w:r w:rsidR="006F5157" w:rsidRPr="00FD4262">
        <w:rPr>
          <w:rFonts w:cstheme="minorHAnsi"/>
          <w:sz w:val="20"/>
          <w:szCs w:val="20"/>
        </w:rPr>
        <w:t>avant</w:t>
      </w:r>
      <w:r w:rsidR="006F5157" w:rsidRPr="00452029">
        <w:rPr>
          <w:rFonts w:cstheme="minorHAnsi"/>
          <w:sz w:val="20"/>
          <w:szCs w:val="20"/>
        </w:rPr>
        <w:t xml:space="preserve">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r w:rsidR="00B4619D">
        <w:rPr>
          <w:rFonts w:cstheme="minorHAnsi"/>
          <w:sz w:val="20"/>
          <w:szCs w:val="20"/>
        </w:rPr>
        <w:t xml:space="preserve"> </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9" w:name="_Toc160105152"/>
      <w:r w:rsidRPr="00452029">
        <w:rPr>
          <w:rFonts w:asciiTheme="minorHAnsi" w:hAnsiTheme="minorHAnsi" w:cstheme="minorHAnsi"/>
          <w:sz w:val="20"/>
          <w:szCs w:val="20"/>
        </w:rPr>
        <w:t>7.8.   Transferts internationaux</w:t>
      </w:r>
      <w:bookmarkEnd w:id="19"/>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20"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20"/>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4F895DB2">
      <w:pPr>
        <w:pStyle w:val="Paragraphedeliste"/>
        <w:numPr>
          <w:ilvl w:val="0"/>
          <w:numId w:val="17"/>
        </w:numPr>
        <w:spacing w:after="0"/>
        <w:ind w:left="1068"/>
        <w:jc w:val="both"/>
        <w:rPr>
          <w:sz w:val="20"/>
          <w:szCs w:val="20"/>
        </w:rPr>
      </w:pPr>
      <w:bookmarkStart w:id="21" w:name="_Int_mh7XaSU8"/>
      <w:r w:rsidRPr="4F895DB2">
        <w:rPr>
          <w:sz w:val="20"/>
          <w:szCs w:val="20"/>
        </w:rPr>
        <w:t>l</w:t>
      </w:r>
      <w:r w:rsidR="00B335ED" w:rsidRPr="4F895DB2">
        <w:rPr>
          <w:sz w:val="20"/>
          <w:szCs w:val="20"/>
        </w:rPr>
        <w:t>’</w:t>
      </w:r>
      <w:r w:rsidRPr="4F895DB2">
        <w:rPr>
          <w:sz w:val="20"/>
          <w:szCs w:val="20"/>
        </w:rPr>
        <w:t>obligation</w:t>
      </w:r>
      <w:bookmarkEnd w:id="21"/>
      <w:r w:rsidRPr="4F895DB2">
        <w:rPr>
          <w:sz w:val="20"/>
          <w:szCs w:val="20"/>
        </w:rPr>
        <w:t xml:space="preserve"> de procéder à une évaluation de l</w:t>
      </w:r>
      <w:r w:rsidR="00B335ED" w:rsidRPr="4F895DB2">
        <w:rPr>
          <w:sz w:val="20"/>
          <w:szCs w:val="20"/>
        </w:rPr>
        <w:t>’</w:t>
      </w:r>
      <w:r w:rsidRPr="4F895DB2">
        <w:rPr>
          <w:sz w:val="20"/>
          <w:szCs w:val="20"/>
        </w:rPr>
        <w:t>incidence des opérations de traitement envisagées sur la protection des données à caractère personnel («</w:t>
      </w:r>
      <w:r w:rsidR="004A444B" w:rsidRPr="4F895DB2">
        <w:rPr>
          <w:sz w:val="20"/>
          <w:szCs w:val="20"/>
        </w:rPr>
        <w:t> </w:t>
      </w:r>
      <w:r w:rsidRPr="4F895DB2">
        <w:rPr>
          <w:sz w:val="20"/>
          <w:szCs w:val="20"/>
        </w:rPr>
        <w:t>analyse d</w:t>
      </w:r>
      <w:r w:rsidR="00B335ED" w:rsidRPr="4F895DB2">
        <w:rPr>
          <w:sz w:val="20"/>
          <w:szCs w:val="20"/>
        </w:rPr>
        <w:t>’</w:t>
      </w:r>
      <w:r w:rsidRPr="4F895DB2">
        <w:rPr>
          <w:sz w:val="20"/>
          <w:szCs w:val="20"/>
        </w:rPr>
        <w:t>impact relative à la protection des données</w:t>
      </w:r>
      <w:r w:rsidR="004A444B" w:rsidRPr="4F895DB2">
        <w:rPr>
          <w:sz w:val="20"/>
          <w:szCs w:val="20"/>
        </w:rPr>
        <w:t> </w:t>
      </w:r>
      <w:r w:rsidRPr="4F895DB2">
        <w:rPr>
          <w:sz w:val="20"/>
          <w:szCs w:val="20"/>
        </w:rPr>
        <w:t>») lorsqu</w:t>
      </w:r>
      <w:r w:rsidR="00B335ED" w:rsidRPr="4F895DB2">
        <w:rPr>
          <w:sz w:val="20"/>
          <w:szCs w:val="20"/>
        </w:rPr>
        <w:t>’</w:t>
      </w:r>
      <w:r w:rsidRPr="4F895DB2">
        <w:rPr>
          <w:sz w:val="20"/>
          <w:szCs w:val="20"/>
        </w:rPr>
        <w:t>un type de traitement est susceptible de présenter un risque élevé pour les droits et libertés des personnes physiques</w:t>
      </w:r>
      <w:r w:rsidR="004A444B" w:rsidRPr="4F895DB2">
        <w:rPr>
          <w:sz w:val="20"/>
          <w:szCs w:val="20"/>
        </w:rPr>
        <w:t> </w:t>
      </w:r>
      <w:r w:rsidRPr="4F895DB2">
        <w:rPr>
          <w:sz w:val="20"/>
          <w:szCs w:val="20"/>
        </w:rPr>
        <w:t>;</w:t>
      </w:r>
    </w:p>
    <w:p w14:paraId="417E657F" w14:textId="025FF42B" w:rsidR="006F5157" w:rsidRPr="00452029" w:rsidRDefault="2D59B755" w:rsidP="4F895DB2">
      <w:pPr>
        <w:pStyle w:val="Paragraphedeliste"/>
        <w:numPr>
          <w:ilvl w:val="0"/>
          <w:numId w:val="17"/>
        </w:numPr>
        <w:spacing w:after="0"/>
        <w:ind w:left="1068"/>
        <w:jc w:val="both"/>
        <w:rPr>
          <w:sz w:val="20"/>
          <w:szCs w:val="20"/>
        </w:rPr>
      </w:pPr>
      <w:r w:rsidRPr="4F895DB2">
        <w:rPr>
          <w:sz w:val="20"/>
          <w:szCs w:val="20"/>
        </w:rPr>
        <w:t>L’obligation</w:t>
      </w:r>
      <w:r w:rsidR="006F5157" w:rsidRPr="4F895DB2">
        <w:rPr>
          <w:sz w:val="20"/>
          <w:szCs w:val="20"/>
        </w:rPr>
        <w:t xml:space="preserve"> de consulter l</w:t>
      </w:r>
      <w:r w:rsidR="00B335ED" w:rsidRPr="4F895DB2">
        <w:rPr>
          <w:sz w:val="20"/>
          <w:szCs w:val="20"/>
        </w:rPr>
        <w:t>’</w:t>
      </w:r>
      <w:r w:rsidR="006F5157" w:rsidRPr="4F895DB2">
        <w:rPr>
          <w:sz w:val="20"/>
          <w:szCs w:val="20"/>
        </w:rPr>
        <w:t>autorité de contrôle compétente/les autorités de contrôle compétentes préalablement au traitement lorsqu</w:t>
      </w:r>
      <w:r w:rsidR="00B335ED" w:rsidRPr="4F895DB2">
        <w:rPr>
          <w:sz w:val="20"/>
          <w:szCs w:val="20"/>
        </w:rPr>
        <w:t>’</w:t>
      </w:r>
      <w:r w:rsidR="006F5157" w:rsidRPr="4F895DB2">
        <w:rPr>
          <w:sz w:val="20"/>
          <w:szCs w:val="20"/>
        </w:rPr>
        <w:t>une analyse d</w:t>
      </w:r>
      <w:r w:rsidR="00B335ED" w:rsidRPr="4F895DB2">
        <w:rPr>
          <w:sz w:val="20"/>
          <w:szCs w:val="20"/>
        </w:rPr>
        <w:t>’</w:t>
      </w:r>
      <w:r w:rsidR="006F5157" w:rsidRPr="4F895DB2">
        <w:rPr>
          <w:sz w:val="20"/>
          <w:szCs w:val="20"/>
        </w:rPr>
        <w:t>impact relative à la protection des données indique que le traitement présenterait un risque élevé si le responsable du traitement ne prenait pas de mesures pour atténuer le risque</w:t>
      </w:r>
      <w:r w:rsidR="004A444B" w:rsidRPr="4F895DB2">
        <w:rPr>
          <w:sz w:val="20"/>
          <w:szCs w:val="20"/>
        </w:rPr>
        <w:t> </w:t>
      </w:r>
      <w:r w:rsidR="006F5157" w:rsidRPr="4F895DB2">
        <w:rPr>
          <w:sz w:val="20"/>
          <w:szCs w:val="20"/>
        </w:rPr>
        <w:t>;</w:t>
      </w:r>
    </w:p>
    <w:p w14:paraId="2467F1C4" w14:textId="280C006A" w:rsidR="006F5157" w:rsidRPr="00452029" w:rsidRDefault="1AF75F1B" w:rsidP="4F895DB2">
      <w:pPr>
        <w:pStyle w:val="Paragraphedeliste"/>
        <w:numPr>
          <w:ilvl w:val="0"/>
          <w:numId w:val="17"/>
        </w:numPr>
        <w:spacing w:after="0"/>
        <w:ind w:left="1068"/>
        <w:jc w:val="both"/>
        <w:rPr>
          <w:sz w:val="20"/>
          <w:szCs w:val="20"/>
        </w:rPr>
      </w:pPr>
      <w:r w:rsidRPr="4F895DB2">
        <w:rPr>
          <w:sz w:val="20"/>
          <w:szCs w:val="20"/>
        </w:rPr>
        <w:t>L’obligation</w:t>
      </w:r>
      <w:r w:rsidR="006F5157" w:rsidRPr="4F895DB2">
        <w:rPr>
          <w:sz w:val="20"/>
          <w:szCs w:val="20"/>
        </w:rPr>
        <w:t xml:space="preserve"> de veiller à ce que les données à caractère personnel soient exactes et à jour, en informant sans délai le responsable du traitement si le sous-traitant apprend que les données à caractère personnel qu</w:t>
      </w:r>
      <w:r w:rsidR="00B335ED" w:rsidRPr="4F895DB2">
        <w:rPr>
          <w:sz w:val="20"/>
          <w:szCs w:val="20"/>
        </w:rPr>
        <w:t>’</w:t>
      </w:r>
      <w:r w:rsidR="006F5157" w:rsidRPr="4F895DB2">
        <w:rPr>
          <w:sz w:val="20"/>
          <w:szCs w:val="20"/>
        </w:rPr>
        <w:t>il traite sont inexactes ou sont devenues obsolètes</w:t>
      </w:r>
      <w:r w:rsidR="004A444B" w:rsidRPr="4F895DB2">
        <w:rPr>
          <w:sz w:val="20"/>
          <w:szCs w:val="20"/>
        </w:rPr>
        <w:t> </w:t>
      </w:r>
      <w:r w:rsidR="006F5157" w:rsidRPr="4F895DB2">
        <w:rPr>
          <w:sz w:val="20"/>
          <w:szCs w:val="20"/>
        </w:rPr>
        <w:t>;</w:t>
      </w:r>
    </w:p>
    <w:p w14:paraId="485D5638" w14:textId="20E02591" w:rsidR="006F5157" w:rsidRPr="00452029" w:rsidRDefault="3C415261" w:rsidP="4F895DB2">
      <w:pPr>
        <w:pStyle w:val="Paragraphedeliste"/>
        <w:numPr>
          <w:ilvl w:val="0"/>
          <w:numId w:val="17"/>
        </w:numPr>
        <w:spacing w:after="0"/>
        <w:ind w:left="1068"/>
        <w:jc w:val="both"/>
        <w:rPr>
          <w:sz w:val="20"/>
          <w:szCs w:val="20"/>
        </w:rPr>
      </w:pPr>
      <w:r w:rsidRPr="4F895DB2">
        <w:rPr>
          <w:sz w:val="20"/>
          <w:szCs w:val="20"/>
        </w:rPr>
        <w:t>Les</w:t>
      </w:r>
      <w:r w:rsidR="006F5157" w:rsidRPr="4F895DB2">
        <w:rPr>
          <w:sz w:val="20"/>
          <w:szCs w:val="20"/>
        </w:rPr>
        <w:t xml:space="preserve"> obligations prévues à l</w:t>
      </w:r>
      <w:r w:rsidR="00B335ED" w:rsidRPr="4F895DB2">
        <w:rPr>
          <w:sz w:val="20"/>
          <w:szCs w:val="20"/>
        </w:rPr>
        <w:t>’</w:t>
      </w:r>
      <w:r w:rsidR="006F5157" w:rsidRPr="4F895DB2">
        <w:rPr>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2"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2"/>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3" w:name="_Toc160105155"/>
      <w:bookmarkStart w:id="24" w:name="_Hlk141977409"/>
      <w:r w:rsidRPr="00452029">
        <w:rPr>
          <w:rFonts w:asciiTheme="minorHAnsi" w:hAnsiTheme="minorHAnsi" w:cstheme="minorHAnsi"/>
          <w:sz w:val="20"/>
          <w:szCs w:val="20"/>
        </w:rPr>
        <w:t>9.1.   Violation de données en rapport avec des données traitées par le responsable du traitement</w:t>
      </w:r>
      <w:bookmarkEnd w:id="23"/>
    </w:p>
    <w:bookmarkEnd w:id="24"/>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3DFEE7B3" w:rsidR="006F5157" w:rsidRPr="00452029" w:rsidRDefault="27C0583F" w:rsidP="4F895DB2">
      <w:pPr>
        <w:pStyle w:val="Paragraphedeliste"/>
        <w:numPr>
          <w:ilvl w:val="0"/>
          <w:numId w:val="22"/>
        </w:numPr>
        <w:spacing w:after="0"/>
        <w:jc w:val="both"/>
        <w:rPr>
          <w:sz w:val="20"/>
          <w:szCs w:val="20"/>
        </w:rPr>
      </w:pPr>
      <w:r w:rsidRPr="4F895DB2">
        <w:rPr>
          <w:sz w:val="20"/>
          <w:szCs w:val="20"/>
        </w:rPr>
        <w:t>Aux</w:t>
      </w:r>
      <w:r w:rsidR="006F5157" w:rsidRPr="4F895DB2">
        <w:rPr>
          <w:sz w:val="20"/>
          <w:szCs w:val="20"/>
        </w:rPr>
        <w:t xml:space="preserve"> fins de la notification de la violation de données à caractère personnel à l</w:t>
      </w:r>
      <w:r w:rsidR="00B335ED" w:rsidRPr="4F895DB2">
        <w:rPr>
          <w:sz w:val="20"/>
          <w:szCs w:val="20"/>
        </w:rPr>
        <w:t>’</w:t>
      </w:r>
      <w:r w:rsidR="006F5157" w:rsidRPr="4F895DB2">
        <w:rPr>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4F895DB2">
        <w:rPr>
          <w:sz w:val="20"/>
          <w:szCs w:val="20"/>
        </w:rPr>
        <w:t>’</w:t>
      </w:r>
      <w:r w:rsidR="006F5157" w:rsidRPr="4F895DB2">
        <w:rPr>
          <w:sz w:val="20"/>
          <w:szCs w:val="20"/>
        </w:rPr>
        <w:t>engendrer un risque pour les droits et libertés des personnes physiques)</w:t>
      </w:r>
      <w:r w:rsidR="005A5F12" w:rsidRPr="4F895DB2">
        <w:rPr>
          <w:sz w:val="20"/>
          <w:szCs w:val="20"/>
        </w:rPr>
        <w:t> </w:t>
      </w:r>
      <w:r w:rsidR="006F5157" w:rsidRPr="4F895DB2">
        <w:rPr>
          <w:sz w:val="20"/>
          <w:szCs w:val="20"/>
        </w:rPr>
        <w:t>;</w:t>
      </w:r>
    </w:p>
    <w:p w14:paraId="34AC60B2" w14:textId="42A855B6" w:rsidR="006F5157" w:rsidRPr="00452029" w:rsidRDefault="3D995037" w:rsidP="4F895DB2">
      <w:pPr>
        <w:pStyle w:val="Paragraphedeliste"/>
        <w:numPr>
          <w:ilvl w:val="0"/>
          <w:numId w:val="22"/>
        </w:numPr>
        <w:spacing w:after="0"/>
        <w:jc w:val="both"/>
        <w:rPr>
          <w:sz w:val="20"/>
          <w:szCs w:val="20"/>
        </w:rPr>
      </w:pPr>
      <w:r w:rsidRPr="4F895DB2">
        <w:rPr>
          <w:sz w:val="20"/>
          <w:szCs w:val="20"/>
        </w:rPr>
        <w:t>Aux</w:t>
      </w:r>
      <w:r w:rsidR="006F5157" w:rsidRPr="4F895DB2">
        <w:rPr>
          <w:sz w:val="20"/>
          <w:szCs w:val="20"/>
        </w:rPr>
        <w:t xml:space="preserve"> fins de l</w:t>
      </w:r>
      <w:r w:rsidR="00B335ED" w:rsidRPr="4F895DB2">
        <w:rPr>
          <w:sz w:val="20"/>
          <w:szCs w:val="20"/>
        </w:rPr>
        <w:t>’</w:t>
      </w:r>
      <w:r w:rsidR="006F5157" w:rsidRPr="4F895DB2">
        <w:rPr>
          <w:sz w:val="20"/>
          <w:szCs w:val="20"/>
        </w:rPr>
        <w:t>obtention des informations suivantes qui, conformément à l</w:t>
      </w:r>
      <w:r w:rsidR="00B335ED" w:rsidRPr="4F895DB2">
        <w:rPr>
          <w:sz w:val="20"/>
          <w:szCs w:val="20"/>
        </w:rPr>
        <w:t>’</w:t>
      </w:r>
      <w:r w:rsidR="006F5157" w:rsidRPr="4F895DB2">
        <w:rPr>
          <w:sz w:val="20"/>
          <w:szCs w:val="20"/>
        </w:rPr>
        <w:t>article 33, paragraphe 3, du règlement (UE) 2016/679, doivent figurer dans la notification du responsable du traitement, et inclure, au moins</w:t>
      </w:r>
      <w:r w:rsidR="005A5F12" w:rsidRPr="4F895DB2">
        <w:rPr>
          <w:sz w:val="20"/>
          <w:szCs w:val="20"/>
        </w:rPr>
        <w:t> </w:t>
      </w:r>
      <w:r w:rsidR="006F5157" w:rsidRPr="4F895DB2">
        <w:rPr>
          <w:sz w:val="20"/>
          <w:szCs w:val="20"/>
        </w:rPr>
        <w:t>:</w:t>
      </w:r>
    </w:p>
    <w:p w14:paraId="2BFF1B8C" w14:textId="1F5C8629" w:rsidR="006F5157" w:rsidRPr="00452029" w:rsidRDefault="5D11F684" w:rsidP="4F895DB2">
      <w:pPr>
        <w:pStyle w:val="Paragraphedeliste"/>
        <w:numPr>
          <w:ilvl w:val="0"/>
          <w:numId w:val="24"/>
        </w:numPr>
        <w:spacing w:after="0"/>
        <w:jc w:val="both"/>
        <w:rPr>
          <w:sz w:val="20"/>
          <w:szCs w:val="20"/>
        </w:rPr>
      </w:pPr>
      <w:r w:rsidRPr="4F895DB2">
        <w:rPr>
          <w:sz w:val="20"/>
          <w:szCs w:val="20"/>
        </w:rPr>
        <w:t>La</w:t>
      </w:r>
      <w:r w:rsidR="006F5157" w:rsidRPr="4F895DB2">
        <w:rPr>
          <w:sz w:val="20"/>
          <w:szCs w:val="20"/>
        </w:rPr>
        <w:t xml:space="preserve"> nature des données à caractère personnel, y compris, si possible, les catégories et le nombre approximatif de personnes concernées par la violation et les catégories et le nombre approximatif d</w:t>
      </w:r>
      <w:r w:rsidR="00B335ED" w:rsidRPr="4F895DB2">
        <w:rPr>
          <w:sz w:val="20"/>
          <w:szCs w:val="20"/>
        </w:rPr>
        <w:t>’</w:t>
      </w:r>
      <w:r w:rsidR="006F5157" w:rsidRPr="4F895DB2">
        <w:rPr>
          <w:sz w:val="20"/>
          <w:szCs w:val="20"/>
        </w:rPr>
        <w:t>enregistrements de données à caractère personnel concernés</w:t>
      </w:r>
      <w:r w:rsidR="005A5F12" w:rsidRPr="4F895DB2">
        <w:rPr>
          <w:sz w:val="20"/>
          <w:szCs w:val="20"/>
        </w:rPr>
        <w:t> </w:t>
      </w:r>
      <w:r w:rsidR="006F5157" w:rsidRPr="4F895DB2">
        <w:rPr>
          <w:sz w:val="20"/>
          <w:szCs w:val="20"/>
        </w:rPr>
        <w:t>;</w:t>
      </w:r>
    </w:p>
    <w:p w14:paraId="120D99C9" w14:textId="65007981" w:rsidR="006F5157" w:rsidRPr="00452029" w:rsidRDefault="2C057B76" w:rsidP="4F895DB2">
      <w:pPr>
        <w:pStyle w:val="Paragraphedeliste"/>
        <w:numPr>
          <w:ilvl w:val="0"/>
          <w:numId w:val="24"/>
        </w:numPr>
        <w:spacing w:after="0"/>
        <w:jc w:val="both"/>
        <w:rPr>
          <w:sz w:val="20"/>
          <w:szCs w:val="20"/>
        </w:rPr>
      </w:pPr>
      <w:r w:rsidRPr="4F895DB2">
        <w:rPr>
          <w:sz w:val="20"/>
          <w:szCs w:val="20"/>
        </w:rPr>
        <w:t>Les</w:t>
      </w:r>
      <w:r w:rsidR="006F5157" w:rsidRPr="4F895DB2">
        <w:rPr>
          <w:sz w:val="20"/>
          <w:szCs w:val="20"/>
        </w:rPr>
        <w:t xml:space="preserve"> conséquences probables de la violation de données à caractère personnel</w:t>
      </w:r>
      <w:r w:rsidR="005A5F12" w:rsidRPr="4F895DB2">
        <w:rPr>
          <w:sz w:val="20"/>
          <w:szCs w:val="20"/>
        </w:rPr>
        <w:t> </w:t>
      </w:r>
      <w:r w:rsidR="006F5157" w:rsidRPr="4F895DB2">
        <w:rPr>
          <w:sz w:val="20"/>
          <w:szCs w:val="20"/>
        </w:rPr>
        <w:t>;</w:t>
      </w:r>
    </w:p>
    <w:p w14:paraId="3C3C9A5A" w14:textId="77756C4D" w:rsidR="006F5157" w:rsidRPr="00452029" w:rsidRDefault="2C057B76" w:rsidP="4F895DB2">
      <w:pPr>
        <w:pStyle w:val="Paragraphedeliste"/>
        <w:numPr>
          <w:ilvl w:val="0"/>
          <w:numId w:val="24"/>
        </w:numPr>
        <w:spacing w:after="0"/>
        <w:jc w:val="both"/>
        <w:rPr>
          <w:sz w:val="20"/>
          <w:szCs w:val="20"/>
        </w:rPr>
      </w:pPr>
      <w:r w:rsidRPr="4F895DB2">
        <w:rPr>
          <w:sz w:val="20"/>
          <w:szCs w:val="20"/>
        </w:rPr>
        <w:t>Les</w:t>
      </w:r>
      <w:r w:rsidR="006F5157" w:rsidRPr="4F895DB2">
        <w:rPr>
          <w:sz w:val="20"/>
          <w:szCs w:val="20"/>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25E2575E" w:rsidR="006F5157" w:rsidRPr="00452029" w:rsidRDefault="36239A38" w:rsidP="4F895DB2">
      <w:pPr>
        <w:pStyle w:val="Paragraphedeliste"/>
        <w:numPr>
          <w:ilvl w:val="0"/>
          <w:numId w:val="22"/>
        </w:numPr>
        <w:spacing w:after="0"/>
        <w:jc w:val="both"/>
        <w:rPr>
          <w:sz w:val="20"/>
          <w:szCs w:val="20"/>
        </w:rPr>
      </w:pPr>
      <w:r w:rsidRPr="4F895DB2">
        <w:rPr>
          <w:sz w:val="20"/>
          <w:szCs w:val="20"/>
        </w:rPr>
        <w:t>Aux</w:t>
      </w:r>
      <w:r w:rsidR="006F5157" w:rsidRPr="4F895DB2">
        <w:rPr>
          <w:sz w:val="20"/>
          <w:szCs w:val="20"/>
        </w:rPr>
        <w:t xml:space="preserve"> fins de la satisfaction, conformément à l</w:t>
      </w:r>
      <w:r w:rsidR="00B335ED" w:rsidRPr="4F895DB2">
        <w:rPr>
          <w:sz w:val="20"/>
          <w:szCs w:val="20"/>
        </w:rPr>
        <w:t>’</w:t>
      </w:r>
      <w:r w:rsidR="006F5157" w:rsidRPr="4F895DB2">
        <w:rPr>
          <w:sz w:val="20"/>
          <w:szCs w:val="20"/>
        </w:rPr>
        <w:t>article 34 du règlement (UE) 2016/679, de l</w:t>
      </w:r>
      <w:r w:rsidR="00B335ED" w:rsidRPr="4F895DB2">
        <w:rPr>
          <w:sz w:val="20"/>
          <w:szCs w:val="20"/>
        </w:rPr>
        <w:t>’</w:t>
      </w:r>
      <w:r w:rsidR="006F5157" w:rsidRPr="4F895DB2">
        <w:rPr>
          <w:sz w:val="20"/>
          <w:szCs w:val="20"/>
        </w:rPr>
        <w:t>obligation de communiquer dans les meilleurs délais la violation de données à caractère personnel à la personne concernée, lorsque la violation de données à caractère personnel est susceptible d</w:t>
      </w:r>
      <w:r w:rsidR="00B335ED" w:rsidRPr="4F895DB2">
        <w:rPr>
          <w:sz w:val="20"/>
          <w:szCs w:val="20"/>
        </w:rPr>
        <w:t>’</w:t>
      </w:r>
      <w:r w:rsidR="006F5157" w:rsidRPr="4F895DB2">
        <w:rPr>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5" w:name="_Toc160105156"/>
      <w:bookmarkStart w:id="26" w:name="_Hlk141977815"/>
      <w:r w:rsidRPr="00452029">
        <w:rPr>
          <w:rFonts w:asciiTheme="minorHAnsi" w:hAnsiTheme="minorHAnsi" w:cstheme="minorHAnsi"/>
          <w:sz w:val="20"/>
          <w:szCs w:val="20"/>
        </w:rPr>
        <w:t>9.2.   Violation de données en rapport avec des données traitées par le sous-traitant</w:t>
      </w:r>
      <w:bookmarkEnd w:id="25"/>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6"/>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68BB501A" w:rsidR="006F5157" w:rsidRPr="00452029" w:rsidRDefault="767E5651" w:rsidP="4F895DB2">
      <w:pPr>
        <w:pStyle w:val="Paragraphedeliste"/>
        <w:numPr>
          <w:ilvl w:val="0"/>
          <w:numId w:val="26"/>
        </w:numPr>
        <w:spacing w:after="0"/>
        <w:jc w:val="both"/>
        <w:rPr>
          <w:sz w:val="20"/>
          <w:szCs w:val="20"/>
        </w:rPr>
      </w:pPr>
      <w:r w:rsidRPr="4F895DB2">
        <w:rPr>
          <w:sz w:val="20"/>
          <w:szCs w:val="20"/>
        </w:rPr>
        <w:t>Une</w:t>
      </w:r>
      <w:r w:rsidR="006F5157" w:rsidRPr="4F895DB2">
        <w:rPr>
          <w:sz w:val="20"/>
          <w:szCs w:val="20"/>
        </w:rPr>
        <w:t xml:space="preserve"> description de la nature de la violation constatée (y compris, si possible, les catégories et le nombre approximatif de personnes concernées par la violation et d</w:t>
      </w:r>
      <w:r w:rsidR="00B335ED" w:rsidRPr="4F895DB2">
        <w:rPr>
          <w:sz w:val="20"/>
          <w:szCs w:val="20"/>
        </w:rPr>
        <w:t>’</w:t>
      </w:r>
      <w:r w:rsidR="006F5157" w:rsidRPr="4F895DB2">
        <w:rPr>
          <w:sz w:val="20"/>
          <w:szCs w:val="20"/>
        </w:rPr>
        <w:t>enregistrements de données à caractère personnel concernés)</w:t>
      </w:r>
      <w:r w:rsidR="00502C98" w:rsidRPr="4F895DB2">
        <w:rPr>
          <w:sz w:val="20"/>
          <w:szCs w:val="20"/>
        </w:rPr>
        <w:t> </w:t>
      </w:r>
      <w:r w:rsidR="006F5157" w:rsidRPr="4F895DB2">
        <w:rPr>
          <w:sz w:val="20"/>
          <w:szCs w:val="20"/>
        </w:rPr>
        <w:t>;</w:t>
      </w:r>
    </w:p>
    <w:p w14:paraId="71046810" w14:textId="33D83F34" w:rsidR="006F5157" w:rsidRPr="00452029" w:rsidRDefault="767E5651" w:rsidP="4F895DB2">
      <w:pPr>
        <w:pStyle w:val="Paragraphedeliste"/>
        <w:numPr>
          <w:ilvl w:val="0"/>
          <w:numId w:val="26"/>
        </w:numPr>
        <w:spacing w:after="0"/>
        <w:jc w:val="both"/>
        <w:rPr>
          <w:sz w:val="20"/>
          <w:szCs w:val="20"/>
        </w:rPr>
      </w:pPr>
      <w:r w:rsidRPr="4F895DB2">
        <w:rPr>
          <w:sz w:val="20"/>
          <w:szCs w:val="20"/>
        </w:rPr>
        <w:t>Les</w:t>
      </w:r>
      <w:r w:rsidR="006F5157" w:rsidRPr="4F895DB2">
        <w:rPr>
          <w:sz w:val="20"/>
          <w:szCs w:val="20"/>
        </w:rPr>
        <w:t xml:space="preserve"> coordonnées d</w:t>
      </w:r>
      <w:r w:rsidR="00B335ED" w:rsidRPr="4F895DB2">
        <w:rPr>
          <w:sz w:val="20"/>
          <w:szCs w:val="20"/>
        </w:rPr>
        <w:t>’</w:t>
      </w:r>
      <w:r w:rsidR="006F5157" w:rsidRPr="4F895DB2">
        <w:rPr>
          <w:sz w:val="20"/>
          <w:szCs w:val="20"/>
        </w:rPr>
        <w:t>un point de contact auprès duquel des informations supplémentaires peuvent être obtenues au sujet de la violation de données à caractère personnel</w:t>
      </w:r>
      <w:r w:rsidR="00502C98" w:rsidRPr="4F895DB2">
        <w:rPr>
          <w:sz w:val="20"/>
          <w:szCs w:val="20"/>
        </w:rPr>
        <w:t> </w:t>
      </w:r>
      <w:r w:rsidR="006F5157" w:rsidRPr="4F895DB2">
        <w:rPr>
          <w:sz w:val="20"/>
          <w:szCs w:val="20"/>
        </w:rPr>
        <w:t>;</w:t>
      </w:r>
    </w:p>
    <w:p w14:paraId="57F5AED0" w14:textId="2B6AB467" w:rsidR="006F5157" w:rsidRPr="00452029" w:rsidRDefault="4FF63156" w:rsidP="4F895DB2">
      <w:pPr>
        <w:pStyle w:val="Paragraphedeliste"/>
        <w:numPr>
          <w:ilvl w:val="0"/>
          <w:numId w:val="26"/>
        </w:numPr>
        <w:spacing w:after="0"/>
        <w:jc w:val="both"/>
        <w:rPr>
          <w:sz w:val="20"/>
          <w:szCs w:val="20"/>
        </w:rPr>
      </w:pPr>
      <w:r w:rsidRPr="4F895DB2">
        <w:rPr>
          <w:sz w:val="20"/>
          <w:szCs w:val="20"/>
        </w:rPr>
        <w:t>Ses</w:t>
      </w:r>
      <w:r w:rsidR="006F5157" w:rsidRPr="4F895DB2">
        <w:rPr>
          <w:sz w:val="20"/>
          <w:szCs w:val="20"/>
        </w:rPr>
        <w:t xml:space="preserve"> conséquences probables et les mesures prises ou les mesures qu</w:t>
      </w:r>
      <w:r w:rsidR="00B335ED" w:rsidRPr="4F895DB2">
        <w:rPr>
          <w:sz w:val="20"/>
          <w:szCs w:val="20"/>
        </w:rPr>
        <w:t>’</w:t>
      </w:r>
      <w:r w:rsidR="006F5157" w:rsidRPr="4F895DB2">
        <w:rPr>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7"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7"/>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8"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8"/>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D4360D5" w:rsidR="006F5157" w:rsidRPr="00452029" w:rsidRDefault="6B1170D2" w:rsidP="4F895DB2">
      <w:pPr>
        <w:pStyle w:val="Paragraphedeliste"/>
        <w:numPr>
          <w:ilvl w:val="0"/>
          <w:numId w:val="29"/>
        </w:numPr>
        <w:spacing w:after="0"/>
        <w:ind w:left="1068"/>
        <w:jc w:val="both"/>
        <w:rPr>
          <w:sz w:val="20"/>
          <w:szCs w:val="20"/>
        </w:rPr>
      </w:pPr>
      <w:r w:rsidRPr="4F895DB2">
        <w:rPr>
          <w:sz w:val="20"/>
          <w:szCs w:val="20"/>
        </w:rPr>
        <w:t>Le</w:t>
      </w:r>
      <w:r w:rsidR="006F5157" w:rsidRPr="4F895DB2">
        <w:rPr>
          <w:sz w:val="20"/>
          <w:szCs w:val="20"/>
        </w:rPr>
        <w:t xml:space="preserve"> traitement de données à caractère personnel par le sous-traitant a été suspendu par le responsable du traitement conformément au point a) et le respect des présentes clauses n</w:t>
      </w:r>
      <w:r w:rsidR="00B335ED" w:rsidRPr="4F895DB2">
        <w:rPr>
          <w:sz w:val="20"/>
          <w:szCs w:val="20"/>
        </w:rPr>
        <w:t>’</w:t>
      </w:r>
      <w:r w:rsidR="006F5157" w:rsidRPr="4F895DB2">
        <w:rPr>
          <w:sz w:val="20"/>
          <w:szCs w:val="20"/>
        </w:rPr>
        <w:t>est pas rétabli dans un délai raisonnable et, en tout état de cause, dans un délai d</w:t>
      </w:r>
      <w:r w:rsidR="00B335ED" w:rsidRPr="4F895DB2">
        <w:rPr>
          <w:sz w:val="20"/>
          <w:szCs w:val="20"/>
        </w:rPr>
        <w:t>’</w:t>
      </w:r>
      <w:r w:rsidR="006F5157" w:rsidRPr="4F895DB2">
        <w:rPr>
          <w:sz w:val="20"/>
          <w:szCs w:val="20"/>
        </w:rPr>
        <w:t>un mois à compter de la suspension</w:t>
      </w:r>
      <w:r w:rsidR="00502C98" w:rsidRPr="4F895DB2">
        <w:rPr>
          <w:sz w:val="20"/>
          <w:szCs w:val="20"/>
        </w:rPr>
        <w:t> </w:t>
      </w:r>
      <w:r w:rsidR="006F5157" w:rsidRPr="4F895DB2">
        <w:rPr>
          <w:sz w:val="20"/>
          <w:szCs w:val="20"/>
        </w:rPr>
        <w:t>;</w:t>
      </w:r>
    </w:p>
    <w:p w14:paraId="7DDD4FB1" w14:textId="08F1CA05" w:rsidR="006F5157" w:rsidRPr="00452029" w:rsidRDefault="6B1170D2" w:rsidP="4F895DB2">
      <w:pPr>
        <w:pStyle w:val="Paragraphedeliste"/>
        <w:numPr>
          <w:ilvl w:val="0"/>
          <w:numId w:val="29"/>
        </w:numPr>
        <w:spacing w:after="0"/>
        <w:ind w:left="1068"/>
        <w:jc w:val="both"/>
        <w:rPr>
          <w:sz w:val="20"/>
          <w:szCs w:val="20"/>
        </w:rPr>
      </w:pPr>
      <w:r w:rsidRPr="4F895DB2">
        <w:rPr>
          <w:sz w:val="20"/>
          <w:szCs w:val="20"/>
        </w:rPr>
        <w:t>Le</w:t>
      </w:r>
      <w:r w:rsidR="006F5157" w:rsidRPr="4F895DB2">
        <w:rPr>
          <w:sz w:val="20"/>
          <w:szCs w:val="20"/>
        </w:rPr>
        <w:t xml:space="preserve"> sous-traitant est en violation grave ou persistante des présentes clauses ou des obligations qui lui incombent en vertu du règlement (UE) 2016/679 et/ou du règlement (UE) 2018/1725</w:t>
      </w:r>
      <w:r w:rsidR="00502C98" w:rsidRPr="4F895DB2">
        <w:rPr>
          <w:sz w:val="20"/>
          <w:szCs w:val="20"/>
        </w:rPr>
        <w:t> </w:t>
      </w:r>
      <w:r w:rsidR="006F5157" w:rsidRPr="4F895DB2">
        <w:rPr>
          <w:sz w:val="20"/>
          <w:szCs w:val="20"/>
        </w:rPr>
        <w:t>;</w:t>
      </w:r>
    </w:p>
    <w:p w14:paraId="2CE20351" w14:textId="68C38CC8" w:rsidR="006F5157" w:rsidRPr="00452029" w:rsidRDefault="4AF61F74" w:rsidP="4F895DB2">
      <w:pPr>
        <w:pStyle w:val="Paragraphedeliste"/>
        <w:numPr>
          <w:ilvl w:val="0"/>
          <w:numId w:val="29"/>
        </w:numPr>
        <w:spacing w:after="0"/>
        <w:ind w:left="1068"/>
        <w:jc w:val="both"/>
        <w:rPr>
          <w:sz w:val="20"/>
          <w:szCs w:val="20"/>
        </w:rPr>
      </w:pPr>
      <w:r w:rsidRPr="4F895DB2">
        <w:rPr>
          <w:sz w:val="20"/>
          <w:szCs w:val="20"/>
        </w:rPr>
        <w:t>Le</w:t>
      </w:r>
      <w:r w:rsidR="006F5157" w:rsidRPr="4F895DB2">
        <w:rPr>
          <w:sz w:val="20"/>
          <w:szCs w:val="20"/>
        </w:rPr>
        <w:t xml:space="preserve"> sous-traitant ne se conforme pas à une décision contraignante d</w:t>
      </w:r>
      <w:r w:rsidR="00B335ED" w:rsidRPr="4F895DB2">
        <w:rPr>
          <w:sz w:val="20"/>
          <w:szCs w:val="20"/>
        </w:rPr>
        <w:t>’</w:t>
      </w:r>
      <w:r w:rsidR="006F5157" w:rsidRPr="4F895DB2">
        <w:rPr>
          <w:sz w:val="20"/>
          <w:szCs w:val="20"/>
        </w:rPr>
        <w:t>une juridiction compétente ou de l</w:t>
      </w:r>
      <w:r w:rsidR="00B335ED" w:rsidRPr="4F895DB2">
        <w:rPr>
          <w:sz w:val="20"/>
          <w:szCs w:val="20"/>
        </w:rPr>
        <w:t>’</w:t>
      </w:r>
      <w:r w:rsidR="006F5157" w:rsidRPr="4F895DB2">
        <w:rPr>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9"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9"/>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3254B234" w14:textId="77777777" w:rsidR="00B57FD4" w:rsidRPr="00FD4262" w:rsidRDefault="004C71AB" w:rsidP="00B57FD4">
      <w:pPr>
        <w:pStyle w:val="Sansinterligne"/>
        <w:ind w:left="708"/>
        <w:rPr>
          <w:b/>
          <w:bCs/>
          <w:sz w:val="20"/>
          <w:szCs w:val="20"/>
        </w:rPr>
      </w:pPr>
      <w:r>
        <w:rPr>
          <w:b/>
          <w:bCs/>
          <w:sz w:val="20"/>
          <w:szCs w:val="20"/>
        </w:rPr>
        <w:t xml:space="preserve"> </w:t>
      </w:r>
      <w:r w:rsidR="00B57FD4" w:rsidRPr="00FD4262">
        <w:rPr>
          <w:b/>
          <w:bCs/>
          <w:sz w:val="20"/>
          <w:szCs w:val="20"/>
        </w:rPr>
        <w:t>Caisse des Dépôts et Consignations</w:t>
      </w:r>
    </w:p>
    <w:p w14:paraId="76453DCB" w14:textId="25475A40" w:rsidR="00B57FD4" w:rsidRPr="004361DE" w:rsidRDefault="00B57FD4" w:rsidP="00B57FD4">
      <w:pPr>
        <w:pStyle w:val="Sansinterligne"/>
        <w:ind w:left="708"/>
        <w:rPr>
          <w:sz w:val="20"/>
          <w:szCs w:val="20"/>
        </w:rPr>
      </w:pPr>
      <w:r w:rsidRPr="00FD4262">
        <w:rPr>
          <w:sz w:val="20"/>
          <w:szCs w:val="20"/>
        </w:rPr>
        <w:t xml:space="preserve"> 56, rue de Lille, 75007 Paris</w:t>
      </w:r>
    </w:p>
    <w:p w14:paraId="1F48D7C6" w14:textId="59608AD5" w:rsidR="00CF1FC3" w:rsidRPr="00B4619D" w:rsidRDefault="00CF1FC3" w:rsidP="00B57FD4">
      <w:pPr>
        <w:pStyle w:val="Sansinterligne"/>
        <w:ind w:left="708"/>
        <w:rPr>
          <w:b/>
          <w:bCs/>
          <w:sz w:val="20"/>
          <w:szCs w:val="20"/>
        </w:rPr>
      </w:pPr>
    </w:p>
    <w:p w14:paraId="7728318E" w14:textId="3D5E0737" w:rsidR="000E0248" w:rsidRPr="00B57FD4" w:rsidRDefault="000E0248" w:rsidP="00B57FD4">
      <w:pPr>
        <w:pStyle w:val="Sansinterligne"/>
        <w:rPr>
          <w:sz w:val="20"/>
          <w:szCs w:val="20"/>
        </w:rPr>
      </w:pPr>
    </w:p>
    <w:p w14:paraId="22A4D784" w14:textId="66FADB83" w:rsidR="00BB79F6" w:rsidRPr="00DB60C2"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0079572C">
        <w:rPr>
          <w:rFonts w:cstheme="minorHAnsi"/>
          <w:sz w:val="20"/>
          <w:szCs w:val="20"/>
          <w:u w:val="single"/>
        </w:rPr>
        <w:t xml:space="preserve"> (RDCP)</w:t>
      </w:r>
      <w:r>
        <w:rPr>
          <w:rFonts w:cstheme="minorHAnsi"/>
          <w:sz w:val="20"/>
          <w:szCs w:val="20"/>
        </w:rPr>
        <w:t xml:space="preserve"> : </w:t>
      </w:r>
    </w:p>
    <w:p w14:paraId="71CBB413" w14:textId="7ACD518C" w:rsidR="00F85F69" w:rsidRDefault="0003739E" w:rsidP="00DB60C2">
      <w:pPr>
        <w:pStyle w:val="Paragraphedeliste"/>
        <w:rPr>
          <w:rFonts w:cstheme="minorHAnsi"/>
          <w:b/>
          <w:bCs/>
          <w:sz w:val="20"/>
          <w:szCs w:val="20"/>
        </w:rPr>
      </w:pPr>
      <w:r>
        <w:rPr>
          <w:rFonts w:cstheme="minorHAnsi"/>
          <w:b/>
          <w:bCs/>
          <w:sz w:val="20"/>
          <w:szCs w:val="20"/>
        </w:rPr>
        <w:t>Alexandre BROUILLOU</w:t>
      </w:r>
    </w:p>
    <w:p w14:paraId="41D97B24" w14:textId="4A8BE9C2" w:rsidR="00DB60C2" w:rsidRPr="0003739E" w:rsidRDefault="00DB60C2" w:rsidP="00DB60C2">
      <w:pPr>
        <w:pStyle w:val="Paragraphedeliste"/>
        <w:rPr>
          <w:rFonts w:cstheme="minorHAnsi"/>
          <w:sz w:val="20"/>
          <w:szCs w:val="20"/>
        </w:rPr>
      </w:pPr>
      <w:r w:rsidRPr="0003739E">
        <w:rPr>
          <w:rFonts w:cstheme="minorHAnsi"/>
          <w:sz w:val="20"/>
          <w:szCs w:val="20"/>
        </w:rPr>
        <w:t xml:space="preserve">Responsable </w:t>
      </w:r>
      <w:r w:rsidR="0003739E" w:rsidRPr="0003739E">
        <w:rPr>
          <w:rFonts w:cstheme="minorHAnsi"/>
          <w:sz w:val="20"/>
          <w:szCs w:val="20"/>
        </w:rPr>
        <w:t>du Pôle Stratégie Client et Commerciale</w:t>
      </w:r>
    </w:p>
    <w:p w14:paraId="5976094C" w14:textId="7D5137D1" w:rsidR="00F85F69" w:rsidRPr="00F85F69" w:rsidRDefault="00F85F69" w:rsidP="00F85F69">
      <w:pPr>
        <w:pStyle w:val="Paragraphedeliste"/>
        <w:rPr>
          <w:rFonts w:cstheme="minorHAnsi"/>
          <w:sz w:val="20"/>
          <w:szCs w:val="20"/>
        </w:rPr>
      </w:pPr>
      <w:r>
        <w:rPr>
          <w:rFonts w:cstheme="minorHAnsi"/>
          <w:sz w:val="20"/>
          <w:szCs w:val="20"/>
        </w:rPr>
        <w:t>D</w:t>
      </w:r>
      <w:r w:rsidRPr="00F85F69">
        <w:rPr>
          <w:rFonts w:cstheme="minorHAnsi"/>
          <w:sz w:val="20"/>
          <w:szCs w:val="20"/>
        </w:rPr>
        <w:t xml:space="preserve">épartement du </w:t>
      </w:r>
      <w:r w:rsidR="0003739E">
        <w:rPr>
          <w:rFonts w:cstheme="minorHAnsi"/>
          <w:sz w:val="20"/>
          <w:szCs w:val="20"/>
        </w:rPr>
        <w:t>Réseau Territorial</w:t>
      </w:r>
    </w:p>
    <w:p w14:paraId="1AC735E8" w14:textId="4019B47E" w:rsidR="00F85F69" w:rsidRDefault="00C929D3" w:rsidP="00F85F69">
      <w:pPr>
        <w:pStyle w:val="Paragraphedeliste"/>
        <w:rPr>
          <w:rFonts w:cstheme="minorHAnsi"/>
          <w:sz w:val="20"/>
          <w:szCs w:val="20"/>
        </w:rPr>
      </w:pPr>
      <w:r w:rsidRPr="00F85F69">
        <w:rPr>
          <w:rFonts w:cstheme="minorHAnsi"/>
          <w:sz w:val="20"/>
          <w:szCs w:val="20"/>
        </w:rPr>
        <w:t xml:space="preserve">Banque des </w:t>
      </w:r>
      <w:r w:rsidR="00572E96">
        <w:rPr>
          <w:rFonts w:cstheme="minorHAnsi"/>
          <w:sz w:val="20"/>
          <w:szCs w:val="20"/>
        </w:rPr>
        <w:t>T</w:t>
      </w:r>
      <w:r w:rsidRPr="00F85F69">
        <w:rPr>
          <w:rFonts w:cstheme="minorHAnsi"/>
          <w:sz w:val="20"/>
          <w:szCs w:val="20"/>
        </w:rPr>
        <w:t>erritoires</w:t>
      </w:r>
    </w:p>
    <w:p w14:paraId="30838BCD" w14:textId="6F7C9E06" w:rsidR="00DB60C2" w:rsidRPr="00F60FA1" w:rsidRDefault="00DB60C2" w:rsidP="00F85F69">
      <w:pPr>
        <w:pStyle w:val="Paragraphedeliste"/>
        <w:rPr>
          <w:rFonts w:cstheme="minorHAnsi"/>
          <w:sz w:val="20"/>
          <w:szCs w:val="20"/>
        </w:rPr>
      </w:pPr>
      <w:r w:rsidRPr="00F60FA1">
        <w:rPr>
          <w:rFonts w:cstheme="minorHAnsi"/>
          <w:sz w:val="20"/>
          <w:szCs w:val="20"/>
        </w:rPr>
        <w:t xml:space="preserve">72, avenue Pierre Mendès France, 75013 PARIS </w:t>
      </w:r>
    </w:p>
    <w:p w14:paraId="715590D6" w14:textId="4B999360" w:rsidR="00DB60C2" w:rsidRPr="0003739E" w:rsidRDefault="00FD4262" w:rsidP="00DB60C2">
      <w:pPr>
        <w:pStyle w:val="Paragraphedeliste"/>
        <w:jc w:val="both"/>
        <w:rPr>
          <w:rFonts w:cstheme="minorHAnsi"/>
          <w:sz w:val="20"/>
          <w:szCs w:val="20"/>
        </w:rPr>
      </w:pPr>
      <w:r>
        <w:rPr>
          <w:rFonts w:cstheme="minorHAnsi"/>
          <w:sz w:val="20"/>
          <w:szCs w:val="20"/>
        </w:rPr>
        <w:t>a</w:t>
      </w:r>
      <w:r w:rsidR="0003739E" w:rsidRPr="0003739E">
        <w:rPr>
          <w:rFonts w:cstheme="minorHAnsi"/>
          <w:sz w:val="20"/>
          <w:szCs w:val="20"/>
        </w:rPr>
        <w:t>lexandre.brouillou</w:t>
      </w:r>
      <w:r w:rsidR="001965E4" w:rsidRPr="0003739E">
        <w:rPr>
          <w:rFonts w:cstheme="minorHAnsi"/>
          <w:sz w:val="20"/>
          <w:szCs w:val="20"/>
        </w:rPr>
        <w:t>@caissedesdepots.fr</w:t>
      </w:r>
    </w:p>
    <w:p w14:paraId="4CD21210" w14:textId="77777777" w:rsidR="00FC1F18" w:rsidRPr="004361DE" w:rsidRDefault="00FC1F18"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1117A524" w:rsidR="006F19E9" w:rsidRPr="00FD2802" w:rsidRDefault="000272D9" w:rsidP="000272D9">
      <w:pPr>
        <w:pStyle w:val="Paragraphedeliste"/>
        <w:rPr>
          <w:rFonts w:cstheme="minorHAnsi"/>
          <w:b/>
          <w:bCs/>
          <w:sz w:val="20"/>
          <w:szCs w:val="20"/>
        </w:rPr>
      </w:pPr>
      <w:r w:rsidRPr="00FD2802">
        <w:rPr>
          <w:rFonts w:cstheme="minorHAnsi"/>
          <w:b/>
          <w:bCs/>
          <w:sz w:val="20"/>
          <w:szCs w:val="20"/>
        </w:rPr>
        <w:t>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416914" w:rsidP="000272D9">
      <w:pPr>
        <w:pStyle w:val="Paragraphedeliste"/>
        <w:rPr>
          <w:rFonts w:cstheme="minorHAnsi"/>
          <w:sz w:val="20"/>
          <w:szCs w:val="20"/>
        </w:rPr>
      </w:pPr>
      <w:hyperlink r:id="rId11"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0F75734B" w:rsidR="002B67BD" w:rsidRPr="00FD4262" w:rsidRDefault="002B67BD" w:rsidP="002B67BD">
      <w:pPr>
        <w:jc w:val="both"/>
        <w:rPr>
          <w:rFonts w:cstheme="minorHAnsi"/>
          <w:sz w:val="20"/>
          <w:szCs w:val="20"/>
        </w:rPr>
      </w:pPr>
      <w:r w:rsidRPr="00FD4262">
        <w:rPr>
          <w:rFonts w:cstheme="minorHAnsi"/>
          <w:b/>
          <w:bCs/>
          <w:sz w:val="20"/>
          <w:szCs w:val="20"/>
        </w:rPr>
        <w:t>Sous-traitant(s)</w:t>
      </w:r>
      <w:r w:rsidR="00FD4262">
        <w:rPr>
          <w:rFonts w:cstheme="minorHAnsi"/>
          <w:b/>
          <w:bCs/>
          <w:sz w:val="20"/>
          <w:szCs w:val="20"/>
        </w:rPr>
        <w:t xml:space="preserve"> </w:t>
      </w:r>
      <w:r w:rsidR="00FD4262" w:rsidRPr="00523069">
        <w:rPr>
          <w:rFonts w:cstheme="minorHAnsi"/>
          <w:b/>
          <w:bCs/>
          <w:sz w:val="20"/>
          <w:szCs w:val="20"/>
          <w:highlight w:val="yellow"/>
        </w:rPr>
        <w:t>[à compléter</w:t>
      </w:r>
      <w:r w:rsidR="00523069" w:rsidRPr="00523069">
        <w:rPr>
          <w:rFonts w:cstheme="minorHAnsi"/>
          <w:b/>
          <w:bCs/>
          <w:sz w:val="20"/>
          <w:szCs w:val="20"/>
          <w:highlight w:val="yellow"/>
        </w:rPr>
        <w:t xml:space="preserve"> </w:t>
      </w:r>
      <w:r w:rsidR="00523069">
        <w:rPr>
          <w:rFonts w:cstheme="minorHAnsi"/>
          <w:b/>
          <w:bCs/>
          <w:sz w:val="20"/>
          <w:szCs w:val="20"/>
          <w:highlight w:val="yellow"/>
        </w:rPr>
        <w:t>à l’issue de la consultation</w:t>
      </w:r>
      <w:r w:rsidR="00523069" w:rsidRPr="00523069">
        <w:rPr>
          <w:rFonts w:cstheme="minorHAnsi"/>
          <w:b/>
          <w:bCs/>
          <w:sz w:val="20"/>
          <w:szCs w:val="20"/>
          <w:highlight w:val="yellow"/>
        </w:rPr>
        <w:t>]</w:t>
      </w:r>
      <w:r w:rsidRPr="00FD4262">
        <w:rPr>
          <w:rFonts w:cstheme="minorHAnsi"/>
          <w:b/>
          <w:bCs/>
          <w:sz w:val="20"/>
          <w:szCs w:val="20"/>
        </w:rPr>
        <w:t xml:space="preserve"> :</w:t>
      </w:r>
      <w:r w:rsidRPr="00FD4262">
        <w:rPr>
          <w:rFonts w:cstheme="minorHAnsi"/>
          <w:sz w:val="20"/>
          <w:szCs w:val="20"/>
        </w:rPr>
        <w:t> </w:t>
      </w:r>
    </w:p>
    <w:p w14:paraId="335F89F9" w14:textId="63B568EF" w:rsidR="000272D9" w:rsidRPr="00FD4262" w:rsidRDefault="000272D9" w:rsidP="002B67BD">
      <w:pPr>
        <w:jc w:val="both"/>
        <w:rPr>
          <w:rFonts w:cstheme="minorHAnsi"/>
          <w:sz w:val="20"/>
          <w:szCs w:val="20"/>
        </w:rPr>
      </w:pPr>
      <w:r w:rsidRPr="00FD4262">
        <w:rPr>
          <w:rFonts w:cstheme="minorHAnsi"/>
          <w:sz w:val="20"/>
          <w:szCs w:val="20"/>
        </w:rPr>
        <w:t>Le(s) « </w:t>
      </w:r>
      <w:r w:rsidR="00DF317B" w:rsidRPr="00FD4262">
        <w:rPr>
          <w:rFonts w:cstheme="minorHAnsi"/>
          <w:sz w:val="20"/>
          <w:szCs w:val="20"/>
        </w:rPr>
        <w:t>sous</w:t>
      </w:r>
      <w:r w:rsidRPr="00FD4262">
        <w:rPr>
          <w:rFonts w:cstheme="minorHAnsi"/>
          <w:sz w:val="20"/>
          <w:szCs w:val="20"/>
        </w:rPr>
        <w:t>-traitant</w:t>
      </w:r>
      <w:r w:rsidR="001C7177" w:rsidRPr="00FD4262">
        <w:rPr>
          <w:rFonts w:cstheme="minorHAnsi"/>
          <w:sz w:val="20"/>
          <w:szCs w:val="20"/>
        </w:rPr>
        <w:t>(s)</w:t>
      </w:r>
      <w:r w:rsidRPr="00FD4262">
        <w:rPr>
          <w:rFonts w:cstheme="minorHAnsi"/>
          <w:sz w:val="20"/>
          <w:szCs w:val="20"/>
        </w:rPr>
        <w:t xml:space="preserve"> » </w:t>
      </w:r>
      <w:r w:rsidR="00F722CB" w:rsidRPr="00FD4262">
        <w:rPr>
          <w:rFonts w:cstheme="minorHAnsi"/>
          <w:sz w:val="20"/>
          <w:szCs w:val="20"/>
        </w:rPr>
        <w:t xml:space="preserve">est le / sont </w:t>
      </w:r>
      <w:r w:rsidRPr="00FD4262">
        <w:rPr>
          <w:rFonts w:cstheme="minorHAnsi"/>
          <w:sz w:val="20"/>
          <w:szCs w:val="20"/>
        </w:rPr>
        <w:t>le</w:t>
      </w:r>
      <w:r w:rsidR="001C7177" w:rsidRPr="00FD4262">
        <w:rPr>
          <w:rFonts w:cstheme="minorHAnsi"/>
          <w:sz w:val="20"/>
          <w:szCs w:val="20"/>
        </w:rPr>
        <w:t>(s)</w:t>
      </w:r>
      <w:r w:rsidRPr="00FD4262">
        <w:rPr>
          <w:rFonts w:cstheme="minorHAnsi"/>
          <w:sz w:val="20"/>
          <w:szCs w:val="20"/>
        </w:rPr>
        <w:t xml:space="preserve"> « Prestataire</w:t>
      </w:r>
      <w:r w:rsidR="001C7177" w:rsidRPr="00FD4262">
        <w:rPr>
          <w:rFonts w:cstheme="minorHAnsi"/>
          <w:sz w:val="20"/>
          <w:szCs w:val="20"/>
        </w:rPr>
        <w:t>(s)</w:t>
      </w:r>
      <w:r w:rsidRPr="00FD4262">
        <w:rPr>
          <w:rFonts w:cstheme="minorHAnsi"/>
          <w:sz w:val="20"/>
          <w:szCs w:val="20"/>
        </w:rPr>
        <w:t> » ou le « </w:t>
      </w:r>
      <w:r w:rsidR="001C7177" w:rsidRPr="00FD4262">
        <w:rPr>
          <w:rFonts w:cstheme="minorHAnsi"/>
          <w:sz w:val="20"/>
          <w:szCs w:val="20"/>
        </w:rPr>
        <w:t>(co-)</w:t>
      </w:r>
      <w:r w:rsidRPr="00FD4262">
        <w:rPr>
          <w:rFonts w:cstheme="minorHAnsi"/>
          <w:sz w:val="20"/>
          <w:szCs w:val="20"/>
        </w:rPr>
        <w:t>Titulaire</w:t>
      </w:r>
      <w:r w:rsidR="001C7177" w:rsidRPr="00FD4262">
        <w:rPr>
          <w:rFonts w:cstheme="minorHAnsi"/>
          <w:sz w:val="20"/>
          <w:szCs w:val="20"/>
        </w:rPr>
        <w:t>(s)</w:t>
      </w:r>
      <w:r w:rsidR="004237FD" w:rsidRPr="00FD4262">
        <w:rPr>
          <w:rFonts w:cstheme="minorHAnsi"/>
          <w:sz w:val="20"/>
          <w:szCs w:val="20"/>
        </w:rPr>
        <w:t> »</w:t>
      </w:r>
      <w:r w:rsidRPr="00FD4262">
        <w:rPr>
          <w:rFonts w:cstheme="minorHAnsi"/>
          <w:sz w:val="20"/>
          <w:szCs w:val="20"/>
        </w:rPr>
        <w:t xml:space="preserve"> du Marché aux sens des présentes</w:t>
      </w:r>
      <w:r w:rsidR="00F722CB" w:rsidRPr="00FD4262">
        <w:rPr>
          <w:rFonts w:cstheme="minorHAnsi"/>
          <w:sz w:val="20"/>
          <w:szCs w:val="20"/>
        </w:rPr>
        <w:t>, et dont l’identité est rappelée ci-dessous</w:t>
      </w:r>
      <w:r w:rsidRPr="00FD4262">
        <w:rPr>
          <w:rFonts w:cstheme="minorHAnsi"/>
          <w:sz w:val="20"/>
          <w:szCs w:val="20"/>
        </w:rPr>
        <w:t>.</w:t>
      </w:r>
    </w:p>
    <w:p w14:paraId="41879295" w14:textId="77777777" w:rsidR="00C8640C" w:rsidRPr="00FD4262" w:rsidRDefault="00C8640C" w:rsidP="002B67BD">
      <w:pPr>
        <w:jc w:val="both"/>
        <w:rPr>
          <w:rFonts w:cstheme="minorHAnsi"/>
          <w:sz w:val="20"/>
          <w:szCs w:val="20"/>
        </w:rPr>
      </w:pPr>
    </w:p>
    <w:p w14:paraId="70160BD3" w14:textId="6AAC1293" w:rsidR="00C8640C" w:rsidRPr="00FD4262" w:rsidRDefault="00C8640C" w:rsidP="004361DE">
      <w:pPr>
        <w:pStyle w:val="Sansinterligne"/>
        <w:numPr>
          <w:ilvl w:val="0"/>
          <w:numId w:val="101"/>
        </w:numPr>
        <w:rPr>
          <w:sz w:val="20"/>
          <w:szCs w:val="20"/>
        </w:rPr>
      </w:pPr>
      <w:r w:rsidRPr="00FD4262">
        <w:rPr>
          <w:sz w:val="20"/>
          <w:szCs w:val="20"/>
          <w:u w:val="single"/>
        </w:rPr>
        <w:t>Nom et coordonnées du sous-traitant</w:t>
      </w:r>
      <w:r w:rsidRPr="00FD4262">
        <w:rPr>
          <w:sz w:val="20"/>
          <w:szCs w:val="20"/>
        </w:rPr>
        <w:t xml:space="preserve"> : </w:t>
      </w:r>
    </w:p>
    <w:p w14:paraId="7B1EE2FD" w14:textId="77777777" w:rsidR="00C8640C" w:rsidRPr="00FD4262" w:rsidRDefault="00C8640C" w:rsidP="004361DE">
      <w:pPr>
        <w:pStyle w:val="Paragraphedeliste"/>
        <w:jc w:val="both"/>
      </w:pPr>
      <w:r w:rsidRPr="00FD4262">
        <w:rPr>
          <w:rFonts w:cstheme="minorHAnsi"/>
          <w:sz w:val="20"/>
          <w:szCs w:val="20"/>
        </w:rPr>
        <w:t>[</w:t>
      </w:r>
      <w:r w:rsidRPr="00FD4262">
        <w:t>…]</w:t>
      </w:r>
    </w:p>
    <w:p w14:paraId="5236CDE7" w14:textId="77777777" w:rsidR="00C8640C" w:rsidRPr="00FD4262" w:rsidRDefault="00C8640C" w:rsidP="00C8640C">
      <w:pPr>
        <w:jc w:val="both"/>
        <w:rPr>
          <w:rFonts w:cstheme="minorHAnsi"/>
          <w:sz w:val="20"/>
          <w:szCs w:val="20"/>
        </w:rPr>
      </w:pPr>
    </w:p>
    <w:p w14:paraId="1B860B6F" w14:textId="2286A938" w:rsidR="00C8640C" w:rsidRPr="00FD4262" w:rsidRDefault="00C8640C" w:rsidP="004361DE">
      <w:pPr>
        <w:pStyle w:val="Paragraphedeliste"/>
        <w:numPr>
          <w:ilvl w:val="0"/>
          <w:numId w:val="101"/>
        </w:numPr>
        <w:jc w:val="both"/>
      </w:pPr>
      <w:r w:rsidRPr="00FD4262">
        <w:rPr>
          <w:rFonts w:cstheme="minorHAnsi"/>
          <w:sz w:val="20"/>
          <w:szCs w:val="20"/>
          <w:u w:val="single"/>
        </w:rPr>
        <w:t>Nom, fonction et coordonnées de la personne de contact en charge du suivi du Contrat chez le sous-traitant</w:t>
      </w:r>
      <w:r w:rsidRPr="00FD4262">
        <w:rPr>
          <w:rFonts w:cstheme="minorHAnsi"/>
          <w:sz w:val="20"/>
          <w:szCs w:val="20"/>
        </w:rPr>
        <w:t xml:space="preserve"> : </w:t>
      </w:r>
    </w:p>
    <w:p w14:paraId="0071661D" w14:textId="77777777" w:rsidR="00C8640C" w:rsidRPr="00FD4262" w:rsidRDefault="00C8640C" w:rsidP="00C8640C">
      <w:pPr>
        <w:pStyle w:val="Paragraphedeliste"/>
        <w:jc w:val="both"/>
      </w:pPr>
      <w:r w:rsidRPr="00FD4262">
        <w:rPr>
          <w:rFonts w:cstheme="minorHAnsi"/>
          <w:sz w:val="20"/>
          <w:szCs w:val="20"/>
        </w:rPr>
        <w:t>[</w:t>
      </w:r>
      <w:r w:rsidRPr="00FD4262">
        <w:t>…]</w:t>
      </w:r>
    </w:p>
    <w:p w14:paraId="19671046" w14:textId="77777777" w:rsidR="00C8640C" w:rsidRPr="00FD4262" w:rsidRDefault="00C8640C" w:rsidP="00C8640C">
      <w:pPr>
        <w:jc w:val="both"/>
        <w:rPr>
          <w:rFonts w:cstheme="minorHAnsi"/>
          <w:sz w:val="20"/>
          <w:szCs w:val="20"/>
        </w:rPr>
      </w:pPr>
    </w:p>
    <w:p w14:paraId="21E80794" w14:textId="13FBAB07" w:rsidR="00C8640C" w:rsidRPr="00FD4262" w:rsidRDefault="00C8640C" w:rsidP="004361DE">
      <w:pPr>
        <w:pStyle w:val="Paragraphedeliste"/>
        <w:numPr>
          <w:ilvl w:val="0"/>
          <w:numId w:val="101"/>
        </w:numPr>
        <w:jc w:val="both"/>
        <w:rPr>
          <w:rFonts w:cstheme="minorHAnsi"/>
          <w:sz w:val="20"/>
          <w:szCs w:val="20"/>
        </w:rPr>
      </w:pPr>
      <w:r w:rsidRPr="00FD4262">
        <w:rPr>
          <w:rFonts w:cstheme="minorHAnsi"/>
          <w:sz w:val="20"/>
          <w:szCs w:val="20"/>
          <w:u w:val="single"/>
        </w:rPr>
        <w:t>Nom et coordonnées du DPO du sous-traitant</w:t>
      </w:r>
      <w:r w:rsidRPr="00FD4262">
        <w:rPr>
          <w:rFonts w:cstheme="minorHAnsi"/>
          <w:sz w:val="20"/>
          <w:szCs w:val="20"/>
        </w:rPr>
        <w:t xml:space="preserve"> : </w:t>
      </w:r>
    </w:p>
    <w:p w14:paraId="45EA2CF1" w14:textId="77777777" w:rsidR="00C8640C" w:rsidRPr="0026784E" w:rsidRDefault="00C8640C" w:rsidP="004361DE">
      <w:pPr>
        <w:pStyle w:val="Paragraphedeliste"/>
        <w:jc w:val="both"/>
      </w:pPr>
      <w:r w:rsidRPr="00FD4262">
        <w:rPr>
          <w:rFonts w:cstheme="minorHAnsi"/>
          <w:sz w:val="20"/>
          <w:szCs w:val="20"/>
        </w:rPr>
        <w:t>[</w:t>
      </w:r>
      <w:r w:rsidRPr="00FD4262">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30"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30"/>
    </w:p>
    <w:p w14:paraId="7A52FE81" w14:textId="2E1960F8" w:rsidR="006F5157" w:rsidRPr="00997304" w:rsidRDefault="006F5157" w:rsidP="00D92205">
      <w:pPr>
        <w:spacing w:after="0"/>
        <w:rPr>
          <w:rFonts w:cstheme="minorHAnsi"/>
        </w:rPr>
      </w:pPr>
    </w:p>
    <w:p w14:paraId="2113B169" w14:textId="7B9AAF06"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523069" w:rsidRPr="00523069">
        <w:rPr>
          <w:rFonts w:cstheme="minorHAnsi"/>
          <w:b/>
          <w:bCs/>
          <w:sz w:val="20"/>
          <w:szCs w:val="20"/>
          <w:highlight w:val="yellow"/>
        </w:rPr>
        <w:t xml:space="preserve">[à compléter </w:t>
      </w:r>
      <w:r w:rsidR="00523069">
        <w:rPr>
          <w:rFonts w:cstheme="minorHAnsi"/>
          <w:b/>
          <w:bCs/>
          <w:sz w:val="20"/>
          <w:szCs w:val="20"/>
          <w:highlight w:val="yellow"/>
        </w:rPr>
        <w:t>à l’issue de la consultation</w:t>
      </w:r>
      <w:r w:rsidR="00523069" w:rsidRPr="00523069">
        <w:rPr>
          <w:rFonts w:cstheme="minorHAnsi"/>
          <w:b/>
          <w:bCs/>
          <w:sz w:val="20"/>
          <w:szCs w:val="20"/>
          <w:highlight w:val="yellow"/>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4F895DB2">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253DAB76" w14:textId="49E783D1" w:rsidR="00D25983" w:rsidRPr="00C40E1D" w:rsidRDefault="008D0476" w:rsidP="00A83124">
            <w:pPr>
              <w:spacing w:line="259" w:lineRule="auto"/>
              <w:jc w:val="both"/>
              <w:rPr>
                <w:rFonts w:cstheme="minorHAnsi"/>
                <w:b/>
                <w:sz w:val="20"/>
                <w:szCs w:val="20"/>
                <w:u w:val="single"/>
              </w:rPr>
            </w:pPr>
            <w:r w:rsidRPr="00C40E1D">
              <w:rPr>
                <w:rFonts w:cstheme="minorHAnsi"/>
                <w:b/>
                <w:sz w:val="20"/>
                <w:szCs w:val="20"/>
                <w:u w:val="single"/>
              </w:rPr>
              <w:t>Connaissance des Marchés de la Banque des Territoires</w:t>
            </w:r>
          </w:p>
          <w:p w14:paraId="4CA101C7" w14:textId="77777777" w:rsidR="00D25983" w:rsidRPr="00523069" w:rsidRDefault="00D25983" w:rsidP="00D25983">
            <w:pPr>
              <w:jc w:val="both"/>
              <w:rPr>
                <w:rFonts w:cstheme="minorHAnsi"/>
                <w:bCs/>
                <w:sz w:val="20"/>
                <w:szCs w:val="20"/>
              </w:rPr>
            </w:pPr>
            <w:r w:rsidRPr="00523069">
              <w:rPr>
                <w:rFonts w:cstheme="minorHAnsi"/>
                <w:bCs/>
                <w:sz w:val="20"/>
                <w:szCs w:val="20"/>
              </w:rPr>
              <w:t xml:space="preserve">Pour assurer au mieux les activités de la Banque des Territoires, le département « Stratégie Client et Commerciale » est notamment responsable d’investiguer et de diffuser une bonne compréhension de ses environnements de marché et des besoins de ses clients : quels sont les besoins de financement pour chaque secteur ? quels sont les principaux donneurs d’ordre ? quels objets concentrent les investissements des acteurs publics ? les besoins exprimés sont-ils alignés aux objectifs de politique publique nationaux ? </w:t>
            </w:r>
          </w:p>
          <w:p w14:paraId="227DDEF7" w14:textId="77777777" w:rsidR="00440352" w:rsidRPr="00523069" w:rsidRDefault="00440352" w:rsidP="00D25983">
            <w:pPr>
              <w:jc w:val="both"/>
              <w:rPr>
                <w:rFonts w:cstheme="minorHAnsi"/>
                <w:bCs/>
                <w:sz w:val="20"/>
                <w:szCs w:val="20"/>
              </w:rPr>
            </w:pPr>
          </w:p>
          <w:p w14:paraId="57CE181E" w14:textId="77777777" w:rsidR="00D25983" w:rsidRPr="00523069" w:rsidRDefault="00D25983" w:rsidP="00D25983">
            <w:pPr>
              <w:jc w:val="both"/>
              <w:rPr>
                <w:rFonts w:cstheme="minorHAnsi"/>
                <w:bCs/>
                <w:sz w:val="20"/>
                <w:szCs w:val="20"/>
              </w:rPr>
            </w:pPr>
            <w:r w:rsidRPr="00523069">
              <w:rPr>
                <w:rFonts w:cstheme="minorHAnsi"/>
                <w:bCs/>
                <w:sz w:val="20"/>
                <w:szCs w:val="20"/>
              </w:rPr>
              <w:t xml:space="preserve">La compréhension de ses marchés permet à la Banque des Territoires d’éclairer son positionnement : parts de marché, clients principaux, objets financés, cycle de vie des projets, adéquation de l’offre, etc. </w:t>
            </w:r>
          </w:p>
          <w:p w14:paraId="18801529" w14:textId="77777777" w:rsidR="00D25983" w:rsidRPr="00523069" w:rsidRDefault="00D25983" w:rsidP="00D25983">
            <w:pPr>
              <w:jc w:val="both"/>
              <w:rPr>
                <w:rFonts w:cstheme="minorHAnsi"/>
                <w:bCs/>
                <w:sz w:val="20"/>
                <w:szCs w:val="20"/>
              </w:rPr>
            </w:pPr>
          </w:p>
          <w:p w14:paraId="13841AB7" w14:textId="77777777" w:rsidR="00A83124" w:rsidRPr="00523069" w:rsidRDefault="00D25983" w:rsidP="00A83124">
            <w:pPr>
              <w:jc w:val="both"/>
              <w:rPr>
                <w:rFonts w:cstheme="minorHAnsi"/>
                <w:bCs/>
                <w:sz w:val="20"/>
                <w:szCs w:val="20"/>
              </w:rPr>
            </w:pPr>
            <w:r w:rsidRPr="00523069">
              <w:rPr>
                <w:rFonts w:cstheme="minorHAnsi"/>
                <w:bCs/>
                <w:sz w:val="20"/>
                <w:szCs w:val="20"/>
              </w:rPr>
              <w:t>Pour répondre à ces enjeux, le département « Stratégie Client et Commerciale » a effectué de premières études à partir de l’analyse de la commande publique qui ont démontré leur utilité et créé des attentes pour la compréhension des marchés de la Banque des Territoires comme pour la définition de recommandations à l’attention des équipes métiers et commerciales.</w:t>
            </w:r>
            <w:r w:rsidR="00C1242C" w:rsidRPr="00523069">
              <w:rPr>
                <w:rFonts w:cstheme="minorHAnsi"/>
                <w:bCs/>
                <w:sz w:val="20"/>
                <w:szCs w:val="20"/>
              </w:rPr>
              <w:t xml:space="preserve"> </w:t>
            </w:r>
            <w:r w:rsidRPr="00523069">
              <w:rPr>
                <w:rFonts w:cstheme="minorHAnsi"/>
                <w:bCs/>
                <w:sz w:val="20"/>
                <w:szCs w:val="20"/>
              </w:rPr>
              <w:t>C’est dans le prolongement de cette dynamique que s’inscrit la présente consultation. Le département souhaite renforcer les données marchés dont elle dispose pour éclairer l’action de la Banque des Territoires.</w:t>
            </w:r>
          </w:p>
          <w:p w14:paraId="68703615" w14:textId="77777777" w:rsidR="00C1242C" w:rsidRPr="00523069" w:rsidRDefault="00C1242C" w:rsidP="00A83124">
            <w:pPr>
              <w:jc w:val="both"/>
              <w:rPr>
                <w:rFonts w:cstheme="minorHAnsi"/>
                <w:bCs/>
                <w:sz w:val="20"/>
                <w:szCs w:val="20"/>
              </w:rPr>
            </w:pPr>
          </w:p>
          <w:p w14:paraId="2640448A" w14:textId="77777777" w:rsidR="00C1242C" w:rsidRPr="00523069" w:rsidRDefault="00C1242C" w:rsidP="00C1242C">
            <w:pPr>
              <w:jc w:val="both"/>
              <w:rPr>
                <w:rFonts w:cstheme="minorHAnsi"/>
                <w:bCs/>
                <w:sz w:val="20"/>
                <w:szCs w:val="20"/>
              </w:rPr>
            </w:pPr>
            <w:r w:rsidRPr="00523069">
              <w:rPr>
                <w:rFonts w:cstheme="minorHAnsi"/>
                <w:bCs/>
                <w:sz w:val="20"/>
                <w:szCs w:val="20"/>
              </w:rPr>
              <w:t>Le marché a pour objet l’identification de prestataires capables de fournir des données issues de la commande publique selon les étapes suivantes :</w:t>
            </w:r>
          </w:p>
          <w:p w14:paraId="06A408E2" w14:textId="113FDB2A" w:rsidR="00523069" w:rsidRPr="006B10EF" w:rsidRDefault="00C1242C" w:rsidP="006B10EF">
            <w:pPr>
              <w:pStyle w:val="Paragraphedeliste"/>
              <w:numPr>
                <w:ilvl w:val="0"/>
                <w:numId w:val="107"/>
              </w:numPr>
              <w:jc w:val="both"/>
              <w:rPr>
                <w:rFonts w:cstheme="minorHAnsi"/>
                <w:bCs/>
                <w:sz w:val="20"/>
                <w:szCs w:val="20"/>
              </w:rPr>
            </w:pPr>
            <w:r w:rsidRPr="006B10EF">
              <w:rPr>
                <w:rFonts w:cstheme="minorHAnsi"/>
                <w:bCs/>
                <w:sz w:val="20"/>
                <w:szCs w:val="20"/>
              </w:rPr>
              <w:t xml:space="preserve">Accompagnement de la Banque des Territoires à la définition d’un périmètre de recherche (donneurs d’ordre, type de prestations, indicateurs phares), </w:t>
            </w:r>
          </w:p>
          <w:p w14:paraId="21C6CE2C" w14:textId="7A93795E" w:rsidR="00C1242C" w:rsidRPr="006B10EF" w:rsidRDefault="00C1242C" w:rsidP="006B10EF">
            <w:pPr>
              <w:pStyle w:val="Paragraphedeliste"/>
              <w:numPr>
                <w:ilvl w:val="0"/>
                <w:numId w:val="107"/>
              </w:numPr>
              <w:jc w:val="both"/>
              <w:rPr>
                <w:rFonts w:cstheme="minorHAnsi"/>
                <w:bCs/>
                <w:sz w:val="20"/>
                <w:szCs w:val="20"/>
              </w:rPr>
            </w:pPr>
            <w:r w:rsidRPr="006B10EF">
              <w:rPr>
                <w:rFonts w:cstheme="minorHAnsi"/>
                <w:bCs/>
                <w:sz w:val="20"/>
                <w:szCs w:val="20"/>
              </w:rPr>
              <w:t xml:space="preserve">Identification des consultations publiques pertinentes, </w:t>
            </w:r>
          </w:p>
          <w:p w14:paraId="62E03BFC" w14:textId="17B0280B" w:rsidR="00C1242C" w:rsidRPr="006B10EF" w:rsidRDefault="00C1242C" w:rsidP="006B10EF">
            <w:pPr>
              <w:pStyle w:val="Paragraphedeliste"/>
              <w:numPr>
                <w:ilvl w:val="0"/>
                <w:numId w:val="107"/>
              </w:numPr>
              <w:jc w:val="both"/>
              <w:rPr>
                <w:rFonts w:cstheme="minorHAnsi"/>
                <w:bCs/>
                <w:sz w:val="20"/>
                <w:szCs w:val="20"/>
              </w:rPr>
            </w:pPr>
            <w:r w:rsidRPr="006B10EF">
              <w:rPr>
                <w:rFonts w:cstheme="minorHAnsi"/>
                <w:bCs/>
                <w:sz w:val="20"/>
                <w:szCs w:val="20"/>
              </w:rPr>
              <w:t xml:space="preserve">Restitution des indicateurs clefs de manière visuelle et dynamique, </w:t>
            </w:r>
          </w:p>
          <w:p w14:paraId="73DEDEC1" w14:textId="5BFCEDE9" w:rsidR="00C1242C" w:rsidRPr="006B10EF" w:rsidRDefault="00C1242C" w:rsidP="006B10EF">
            <w:pPr>
              <w:pStyle w:val="Paragraphedeliste"/>
              <w:numPr>
                <w:ilvl w:val="0"/>
                <w:numId w:val="107"/>
              </w:numPr>
              <w:jc w:val="both"/>
              <w:rPr>
                <w:rFonts w:cstheme="minorHAnsi"/>
                <w:bCs/>
                <w:sz w:val="20"/>
                <w:szCs w:val="20"/>
              </w:rPr>
            </w:pPr>
            <w:r w:rsidRPr="006B10EF">
              <w:rPr>
                <w:rFonts w:cstheme="minorHAnsi"/>
                <w:bCs/>
                <w:sz w:val="20"/>
                <w:szCs w:val="20"/>
              </w:rPr>
              <w:t>Restitution du fichier de l’ensemble des consultations.</w:t>
            </w:r>
          </w:p>
          <w:p w14:paraId="5774C839" w14:textId="77777777" w:rsidR="00D613A2" w:rsidRPr="00523069" w:rsidRDefault="00D613A2" w:rsidP="00967F47">
            <w:pPr>
              <w:ind w:left="708"/>
              <w:jc w:val="both"/>
              <w:rPr>
                <w:rFonts w:cstheme="minorHAnsi"/>
                <w:bCs/>
                <w:sz w:val="20"/>
                <w:szCs w:val="20"/>
              </w:rPr>
            </w:pPr>
          </w:p>
          <w:p w14:paraId="3CFCF238" w14:textId="77777777" w:rsidR="00D613A2" w:rsidRPr="00523069" w:rsidRDefault="00D613A2" w:rsidP="00D613A2">
            <w:pPr>
              <w:jc w:val="both"/>
              <w:rPr>
                <w:rFonts w:cstheme="minorHAnsi"/>
                <w:bCs/>
                <w:sz w:val="20"/>
                <w:szCs w:val="20"/>
              </w:rPr>
            </w:pPr>
            <w:r w:rsidRPr="00523069">
              <w:rPr>
                <w:rFonts w:cstheme="minorHAnsi"/>
                <w:bCs/>
                <w:sz w:val="20"/>
                <w:szCs w:val="20"/>
              </w:rPr>
              <w:t>Pour ce marché :</w:t>
            </w:r>
          </w:p>
          <w:p w14:paraId="68E41585" w14:textId="76E89A7A" w:rsidR="00D613A2" w:rsidRPr="00523069" w:rsidRDefault="00D613A2" w:rsidP="00D613A2">
            <w:pPr>
              <w:pStyle w:val="Paragraphedeliste"/>
              <w:numPr>
                <w:ilvl w:val="0"/>
                <w:numId w:val="103"/>
              </w:numPr>
              <w:rPr>
                <w:rFonts w:cstheme="minorHAnsi"/>
                <w:bCs/>
                <w:sz w:val="20"/>
                <w:szCs w:val="20"/>
              </w:rPr>
            </w:pPr>
            <w:r w:rsidRPr="00523069">
              <w:rPr>
                <w:rFonts w:cstheme="minorHAnsi"/>
                <w:bCs/>
                <w:sz w:val="20"/>
                <w:szCs w:val="20"/>
              </w:rPr>
              <w:t>Lot 1 : actualisation de deux études de marché existantes (données de l’année 2024 et du 1e semestre 2025)</w:t>
            </w:r>
          </w:p>
          <w:p w14:paraId="1CAD98C2" w14:textId="2F380198" w:rsidR="00BF66B3" w:rsidRPr="001562F4" w:rsidRDefault="00D613A2" w:rsidP="000C39DC">
            <w:pPr>
              <w:pStyle w:val="Paragraphedeliste"/>
              <w:numPr>
                <w:ilvl w:val="0"/>
                <w:numId w:val="103"/>
              </w:numPr>
              <w:rPr>
                <w:rFonts w:cstheme="minorHAnsi"/>
                <w:bCs/>
                <w:sz w:val="20"/>
                <w:szCs w:val="20"/>
              </w:rPr>
            </w:pPr>
            <w:r w:rsidRPr="00523069">
              <w:rPr>
                <w:rFonts w:cstheme="minorHAnsi"/>
                <w:bCs/>
                <w:sz w:val="20"/>
                <w:szCs w:val="20"/>
              </w:rPr>
              <w:t>Lot 2 : élaboration de deux études de marché (données de 2025).</w:t>
            </w:r>
          </w:p>
        </w:tc>
      </w:tr>
      <w:tr w:rsidR="00103476" w:rsidRPr="00461C79" w14:paraId="43F5161D" w14:textId="77777777" w:rsidTr="4F895DB2">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1D003C90" w14:textId="77777777" w:rsidR="005A2E8F" w:rsidRPr="00BA5E5B" w:rsidRDefault="005A2E8F" w:rsidP="005A2E8F">
            <w:pPr>
              <w:jc w:val="both"/>
              <w:rPr>
                <w:rFonts w:cstheme="minorHAnsi"/>
                <w:b/>
                <w:sz w:val="20"/>
                <w:szCs w:val="20"/>
              </w:rPr>
            </w:pPr>
            <w:r w:rsidRPr="00BA5E5B">
              <w:rPr>
                <w:rFonts w:cstheme="minorHAnsi"/>
                <w:b/>
                <w:sz w:val="20"/>
                <w:szCs w:val="20"/>
              </w:rPr>
              <w:t>BDT02 : Assurer la gestion de la relation clients et prospects</w:t>
            </w:r>
          </w:p>
          <w:p w14:paraId="2D201211" w14:textId="77777777" w:rsidR="005A2E8F" w:rsidRPr="00BA5E5B" w:rsidRDefault="005A2E8F" w:rsidP="005A2E8F">
            <w:pPr>
              <w:numPr>
                <w:ilvl w:val="0"/>
                <w:numId w:val="110"/>
              </w:numPr>
              <w:jc w:val="both"/>
              <w:rPr>
                <w:b/>
                <w:sz w:val="20"/>
                <w:szCs w:val="20"/>
              </w:rPr>
            </w:pPr>
            <w:r w:rsidRPr="00BA5E5B">
              <w:rPr>
                <w:b/>
                <w:sz w:val="20"/>
                <w:szCs w:val="20"/>
              </w:rPr>
              <w:t>Gérer la relation client et prospect : CR de visites, veille/Détection, Prospection</w:t>
            </w:r>
          </w:p>
          <w:p w14:paraId="4261E108" w14:textId="77777777" w:rsidR="005A2E8F" w:rsidRPr="001D65E4" w:rsidRDefault="005A2E8F" w:rsidP="005A2E8F">
            <w:pPr>
              <w:numPr>
                <w:ilvl w:val="0"/>
                <w:numId w:val="110"/>
              </w:numPr>
              <w:jc w:val="both"/>
              <w:rPr>
                <w:b/>
                <w:sz w:val="20"/>
                <w:szCs w:val="20"/>
              </w:rPr>
            </w:pPr>
            <w:r w:rsidRPr="001D65E4">
              <w:rPr>
                <w:b/>
                <w:sz w:val="20"/>
                <w:szCs w:val="20"/>
              </w:rPr>
              <w:t xml:space="preserve">Développer la relation client </w:t>
            </w:r>
          </w:p>
          <w:p w14:paraId="4002B4FE" w14:textId="77777777" w:rsidR="005A2E8F" w:rsidRPr="001D65E4" w:rsidRDefault="005A2E8F" w:rsidP="005A2E8F">
            <w:pPr>
              <w:numPr>
                <w:ilvl w:val="0"/>
                <w:numId w:val="110"/>
              </w:numPr>
              <w:jc w:val="both"/>
              <w:rPr>
                <w:b/>
                <w:sz w:val="20"/>
                <w:szCs w:val="20"/>
              </w:rPr>
            </w:pPr>
            <w:r w:rsidRPr="001D65E4">
              <w:rPr>
                <w:bCs/>
                <w:sz w:val="20"/>
                <w:szCs w:val="20"/>
              </w:rPr>
              <w:t>Informer et</w:t>
            </w:r>
            <w:r w:rsidRPr="001D65E4">
              <w:rPr>
                <w:b/>
                <w:sz w:val="20"/>
                <w:szCs w:val="20"/>
              </w:rPr>
              <w:t xml:space="preserve"> </w:t>
            </w:r>
            <w:r w:rsidRPr="001D65E4">
              <w:rPr>
                <w:b/>
                <w:sz w:val="20"/>
                <w:szCs w:val="20"/>
                <w:u w:val="single"/>
              </w:rPr>
              <w:t>accompagner</w:t>
            </w:r>
            <w:r w:rsidRPr="001D65E4">
              <w:rPr>
                <w:b/>
                <w:sz w:val="20"/>
                <w:szCs w:val="20"/>
              </w:rPr>
              <w:t xml:space="preserve"> </w:t>
            </w:r>
            <w:r w:rsidRPr="001D65E4">
              <w:rPr>
                <w:bCs/>
                <w:sz w:val="20"/>
                <w:szCs w:val="20"/>
              </w:rPr>
              <w:t xml:space="preserve">les clients et </w:t>
            </w:r>
            <w:r w:rsidRPr="001D65E4">
              <w:rPr>
                <w:b/>
                <w:sz w:val="20"/>
                <w:szCs w:val="20"/>
              </w:rPr>
              <w:t>prospects.</w:t>
            </w:r>
          </w:p>
          <w:p w14:paraId="35F54260" w14:textId="77777777" w:rsidR="005A2E8F" w:rsidRPr="00BA5E5B" w:rsidRDefault="005A2E8F" w:rsidP="00E97BB1">
            <w:pPr>
              <w:jc w:val="both"/>
              <w:rPr>
                <w:rFonts w:cstheme="minorHAnsi"/>
                <w:sz w:val="20"/>
                <w:szCs w:val="20"/>
              </w:rPr>
            </w:pPr>
          </w:p>
          <w:p w14:paraId="33F37269" w14:textId="236A0DB2" w:rsidR="00C40E1D" w:rsidRPr="00BA5E5B" w:rsidRDefault="00BF66B3" w:rsidP="00C40E1D">
            <w:pPr>
              <w:jc w:val="both"/>
              <w:rPr>
                <w:rFonts w:cstheme="minorHAnsi"/>
                <w:sz w:val="20"/>
                <w:szCs w:val="20"/>
              </w:rPr>
            </w:pPr>
            <w:r w:rsidRPr="00BA5E5B">
              <w:rPr>
                <w:rFonts w:cstheme="minorHAnsi"/>
                <w:sz w:val="20"/>
                <w:szCs w:val="20"/>
              </w:rPr>
              <w:t xml:space="preserve">Les données de la commande publique permettent à la Banque des Territoires d’identifier les investissements portés par les acteurs publics. Ces investissements étant partiellement financés par de l’emprunt bancaire, ils permettent au métier prêteur de la Banque des Territoires de mieux connaitre leur marché. </w:t>
            </w:r>
            <w:r w:rsidR="00C40E1D" w:rsidRPr="00BA5E5B">
              <w:rPr>
                <w:rFonts w:cstheme="minorHAnsi"/>
                <w:sz w:val="20"/>
                <w:szCs w:val="20"/>
              </w:rPr>
              <w:t>Pour renforcer la connaissance des marchés de la Banque des Territoires, il est demandé au prestataire de :</w:t>
            </w:r>
          </w:p>
          <w:p w14:paraId="2662506F" w14:textId="77777777" w:rsidR="00A0755C" w:rsidRPr="00BA5E5B" w:rsidRDefault="00C40E1D" w:rsidP="00A0755C">
            <w:pPr>
              <w:pStyle w:val="Paragraphedeliste"/>
              <w:numPr>
                <w:ilvl w:val="0"/>
                <w:numId w:val="102"/>
              </w:numPr>
              <w:jc w:val="both"/>
              <w:rPr>
                <w:rFonts w:cstheme="minorHAnsi"/>
                <w:sz w:val="20"/>
                <w:szCs w:val="20"/>
              </w:rPr>
            </w:pPr>
            <w:r w:rsidRPr="00BA5E5B">
              <w:rPr>
                <w:rFonts w:cstheme="minorHAnsi"/>
                <w:sz w:val="20"/>
                <w:szCs w:val="20"/>
              </w:rPr>
              <w:t xml:space="preserve">Extraire l’ensemble des consultations publiques susceptibles d’intéresser la Banque des Territoires, </w:t>
            </w:r>
          </w:p>
          <w:p w14:paraId="68634904" w14:textId="583F3E4A" w:rsidR="00551539" w:rsidRPr="00BA5E5B" w:rsidRDefault="00C40E1D" w:rsidP="00BF66B3">
            <w:pPr>
              <w:pStyle w:val="Paragraphedeliste"/>
              <w:numPr>
                <w:ilvl w:val="0"/>
                <w:numId w:val="102"/>
              </w:numPr>
              <w:jc w:val="both"/>
              <w:rPr>
                <w:rFonts w:cstheme="minorHAnsi"/>
                <w:sz w:val="20"/>
                <w:szCs w:val="20"/>
              </w:rPr>
            </w:pPr>
            <w:r w:rsidRPr="00BA5E5B">
              <w:rPr>
                <w:rFonts w:cstheme="minorHAnsi"/>
                <w:sz w:val="20"/>
                <w:szCs w:val="20"/>
              </w:rPr>
              <w:t xml:space="preserve">Synthétiser ces données par type de client, en s’appuyant sur la nomenclature définie par la Banque des Territoires. Le prestataire recevra un fichier contenant les code SIREN, SIRET et INSEE des acteurs publics, permettant de les associer à une nomenclature propre à la Banque des Territoires. </w:t>
            </w:r>
          </w:p>
        </w:tc>
      </w:tr>
      <w:tr w:rsidR="00103476" w:rsidRPr="00461C79" w14:paraId="302805CA" w14:textId="77777777" w:rsidTr="4F895DB2">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1B070B9D" w14:textId="2FC9BAB9" w:rsidR="002711E4" w:rsidRPr="003F0436" w:rsidRDefault="002711E4" w:rsidP="002711E4">
            <w:pPr>
              <w:pStyle w:val="Paragraphedeliste"/>
              <w:numPr>
                <w:ilvl w:val="0"/>
                <w:numId w:val="105"/>
              </w:numPr>
              <w:jc w:val="both"/>
              <w:rPr>
                <w:sz w:val="20"/>
                <w:szCs w:val="20"/>
              </w:rPr>
            </w:pPr>
            <w:r w:rsidRPr="003F0436">
              <w:rPr>
                <w:sz w:val="20"/>
                <w:szCs w:val="20"/>
                <w:u w:val="single"/>
              </w:rPr>
              <w:t>Données relatives à l’identité </w:t>
            </w:r>
            <w:r w:rsidRPr="003F0436">
              <w:rPr>
                <w:sz w:val="20"/>
                <w:szCs w:val="20"/>
              </w:rPr>
              <w:t>: nom, prénom</w:t>
            </w:r>
          </w:p>
          <w:p w14:paraId="56665DC4" w14:textId="2AAAE86B" w:rsidR="00506918" w:rsidRPr="00416914" w:rsidRDefault="002711E4" w:rsidP="00506918">
            <w:pPr>
              <w:pStyle w:val="Paragraphedeliste"/>
              <w:numPr>
                <w:ilvl w:val="0"/>
                <w:numId w:val="105"/>
              </w:numPr>
              <w:jc w:val="both"/>
              <w:rPr>
                <w:sz w:val="20"/>
                <w:szCs w:val="20"/>
                <w:u w:val="single"/>
              </w:rPr>
            </w:pPr>
            <w:r w:rsidRPr="003F0436">
              <w:rPr>
                <w:sz w:val="20"/>
                <w:szCs w:val="20"/>
                <w:u w:val="single"/>
              </w:rPr>
              <w:t>Données relatives à la vie professionnelle :</w:t>
            </w:r>
            <w:r w:rsidRPr="003F0436">
              <w:rPr>
                <w:sz w:val="20"/>
                <w:szCs w:val="20"/>
              </w:rPr>
              <w:t xml:space="preserve"> téléphone, mail, fonction, entité</w:t>
            </w:r>
            <w:r w:rsidR="00416914">
              <w:rPr>
                <w:sz w:val="20"/>
                <w:szCs w:val="20"/>
              </w:rPr>
              <w:t>.</w:t>
            </w:r>
          </w:p>
        </w:tc>
      </w:tr>
      <w:tr w:rsidR="00103476" w:rsidRPr="00461C79" w14:paraId="241A7748" w14:textId="77777777" w:rsidTr="4F895DB2">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lastRenderedPageBreak/>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20932BF0" w14:textId="7D20ACAA" w:rsidR="006F0D90" w:rsidRPr="000A4D1A" w:rsidRDefault="006F0D90" w:rsidP="006F0D90">
            <w:pPr>
              <w:pStyle w:val="Paragraphedeliste"/>
              <w:numPr>
                <w:ilvl w:val="0"/>
                <w:numId w:val="104"/>
              </w:numPr>
              <w:jc w:val="both"/>
              <w:rPr>
                <w:sz w:val="20"/>
                <w:szCs w:val="20"/>
              </w:rPr>
            </w:pPr>
            <w:r w:rsidRPr="000A4D1A">
              <w:rPr>
                <w:sz w:val="20"/>
                <w:szCs w:val="20"/>
              </w:rPr>
              <w:t>Collaborateur de la CDC</w:t>
            </w:r>
          </w:p>
          <w:p w14:paraId="4909568D" w14:textId="77777777" w:rsidR="006F0D90" w:rsidRDefault="006F0D90" w:rsidP="006F0D90">
            <w:pPr>
              <w:pStyle w:val="Paragraphedeliste"/>
              <w:numPr>
                <w:ilvl w:val="0"/>
                <w:numId w:val="104"/>
              </w:numPr>
              <w:jc w:val="both"/>
              <w:rPr>
                <w:sz w:val="20"/>
                <w:szCs w:val="20"/>
              </w:rPr>
            </w:pPr>
            <w:r w:rsidRPr="000A4D1A">
              <w:rPr>
                <w:sz w:val="20"/>
                <w:szCs w:val="20"/>
              </w:rPr>
              <w:t>Collaborateurs des mandataires et des experts externes</w:t>
            </w:r>
          </w:p>
          <w:p w14:paraId="608687F4" w14:textId="5FF2A92E" w:rsidR="00103476" w:rsidRPr="00452029" w:rsidRDefault="00103476" w:rsidP="00551539">
            <w:pPr>
              <w:pStyle w:val="Paragraphedeliste"/>
              <w:jc w:val="both"/>
              <w:rPr>
                <w:rFonts w:cstheme="minorHAnsi"/>
                <w:sz w:val="20"/>
                <w:szCs w:val="20"/>
                <w:u w:val="single"/>
              </w:rPr>
            </w:pPr>
          </w:p>
        </w:tc>
      </w:tr>
      <w:tr w:rsidR="00103476" w:rsidRPr="00461C79" w14:paraId="425517DC" w14:textId="77777777" w:rsidTr="4F895DB2">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6A757F4D" w14:textId="07E9D365" w:rsidR="00904090" w:rsidRPr="000A4D1A" w:rsidRDefault="00904090" w:rsidP="00904090">
            <w:pPr>
              <w:spacing w:line="259" w:lineRule="auto"/>
              <w:jc w:val="both"/>
              <w:rPr>
                <w:rFonts w:cstheme="minorHAnsi"/>
                <w:i/>
                <w:iCs/>
                <w:sz w:val="20"/>
                <w:szCs w:val="20"/>
              </w:rPr>
            </w:pPr>
            <w:r w:rsidRPr="000A4D1A">
              <w:rPr>
                <w:rFonts w:cstheme="minorHAnsi"/>
                <w:sz w:val="20"/>
                <w:szCs w:val="20"/>
              </w:rPr>
              <w:t>Collecte, stockage, consultation,</w:t>
            </w:r>
            <w:r>
              <w:t xml:space="preserve"> </w:t>
            </w:r>
            <w:r w:rsidRPr="00904090">
              <w:rPr>
                <w:rFonts w:cstheme="minorHAnsi"/>
                <w:sz w:val="20"/>
                <w:szCs w:val="20"/>
              </w:rPr>
              <w:t xml:space="preserve">modification, </w:t>
            </w:r>
            <w:r w:rsidRPr="000A4D1A">
              <w:rPr>
                <w:rFonts w:cstheme="minorHAnsi"/>
                <w:sz w:val="20"/>
                <w:szCs w:val="20"/>
              </w:rPr>
              <w:t xml:space="preserve">extraction, </w:t>
            </w:r>
            <w:r w:rsidRPr="00904090">
              <w:rPr>
                <w:rFonts w:cstheme="minorHAnsi"/>
                <w:sz w:val="20"/>
                <w:szCs w:val="20"/>
              </w:rPr>
              <w:t xml:space="preserve">rapprochement avec d’autres données, </w:t>
            </w:r>
            <w:r w:rsidRPr="000A4D1A">
              <w:rPr>
                <w:rFonts w:cstheme="minorHAnsi"/>
                <w:sz w:val="20"/>
                <w:szCs w:val="20"/>
              </w:rPr>
              <w:t>communication</w:t>
            </w:r>
            <w:r>
              <w:rPr>
                <w:rFonts w:cstheme="minorHAnsi"/>
                <w:sz w:val="20"/>
                <w:szCs w:val="20"/>
              </w:rPr>
              <w:t xml:space="preserve"> par transmission</w:t>
            </w:r>
            <w:r w:rsidRPr="000A4D1A">
              <w:rPr>
                <w:rFonts w:cstheme="minorHAnsi"/>
                <w:sz w:val="20"/>
                <w:szCs w:val="20"/>
              </w:rPr>
              <w:t>, suppression</w:t>
            </w:r>
            <w:r>
              <w:rPr>
                <w:rFonts w:cstheme="minorHAnsi"/>
                <w:sz w:val="20"/>
                <w:szCs w:val="20"/>
              </w:rPr>
              <w:t>.</w:t>
            </w:r>
          </w:p>
          <w:p w14:paraId="12BB9BCF" w14:textId="2F031433" w:rsidR="00160CA0" w:rsidRPr="00160CA0" w:rsidRDefault="00160CA0" w:rsidP="00E067FE">
            <w:pPr>
              <w:jc w:val="both"/>
              <w:rPr>
                <w:rFonts w:cstheme="minorHAnsi"/>
                <w:b/>
                <w:sz w:val="20"/>
                <w:szCs w:val="20"/>
                <w:u w:val="single"/>
              </w:rPr>
            </w:pPr>
          </w:p>
        </w:tc>
      </w:tr>
      <w:tr w:rsidR="00103476" w:rsidRPr="00461C79" w14:paraId="5326E5F9" w14:textId="77777777" w:rsidTr="4F895DB2">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6CCE3466" w14:textId="77777777" w:rsidR="00A02D83" w:rsidRDefault="00A02D83" w:rsidP="00452029">
            <w:pPr>
              <w:jc w:val="both"/>
              <w:rPr>
                <w:rFonts w:cstheme="minorHAnsi"/>
                <w:sz w:val="20"/>
                <w:szCs w:val="20"/>
              </w:rPr>
            </w:pPr>
            <w:r w:rsidRPr="00EE7FD2">
              <w:rPr>
                <w:rFonts w:cstheme="minorHAnsi"/>
                <w:sz w:val="20"/>
                <w:szCs w:val="20"/>
              </w:rPr>
              <w:t>Durée du contrat :</w:t>
            </w:r>
          </w:p>
          <w:p w14:paraId="691549A6" w14:textId="6807577F" w:rsidR="000E555E" w:rsidRPr="00551539" w:rsidRDefault="5E9FF0F3" w:rsidP="4F895DB2">
            <w:pPr>
              <w:pStyle w:val="Paragraphedeliste"/>
              <w:numPr>
                <w:ilvl w:val="0"/>
                <w:numId w:val="102"/>
              </w:numPr>
              <w:jc w:val="both"/>
              <w:rPr>
                <w:sz w:val="20"/>
                <w:szCs w:val="20"/>
              </w:rPr>
            </w:pPr>
            <w:r w:rsidRPr="4F895DB2">
              <w:rPr>
                <w:sz w:val="20"/>
                <w:szCs w:val="20"/>
              </w:rPr>
              <w:t>Lot 1 : actualisation de deux études de marché existantes (données de l’année 2024 et du 1e semestre 2025)</w:t>
            </w:r>
            <w:r w:rsidR="48205484" w:rsidRPr="4F895DB2">
              <w:rPr>
                <w:sz w:val="20"/>
                <w:szCs w:val="20"/>
              </w:rPr>
              <w:t xml:space="preserve"> d’une d</w:t>
            </w:r>
            <w:r w:rsidRPr="4F895DB2">
              <w:rPr>
                <w:sz w:val="20"/>
                <w:szCs w:val="20"/>
              </w:rPr>
              <w:t>urée maximale de</w:t>
            </w:r>
            <w:r w:rsidRPr="4F895DB2">
              <w:rPr>
                <w:b/>
                <w:bCs/>
                <w:sz w:val="20"/>
                <w:szCs w:val="20"/>
              </w:rPr>
              <w:t xml:space="preserve"> six semaines</w:t>
            </w:r>
            <w:r w:rsidRPr="4F895DB2">
              <w:rPr>
                <w:sz w:val="20"/>
                <w:szCs w:val="20"/>
              </w:rPr>
              <w:t xml:space="preserve"> (pour chaque étude thématique d’actualisation)</w:t>
            </w:r>
            <w:r w:rsidR="32DFC7BC" w:rsidRPr="4F895DB2">
              <w:rPr>
                <w:sz w:val="20"/>
                <w:szCs w:val="20"/>
              </w:rPr>
              <w:t>,</w:t>
            </w:r>
          </w:p>
          <w:p w14:paraId="6F41C6E7" w14:textId="3B2B5D2F" w:rsidR="000E555E" w:rsidRPr="0085319A" w:rsidRDefault="72C00F25" w:rsidP="4F895DB2">
            <w:pPr>
              <w:pStyle w:val="Paragraphedeliste"/>
              <w:numPr>
                <w:ilvl w:val="0"/>
                <w:numId w:val="102"/>
              </w:numPr>
              <w:jc w:val="both"/>
              <w:rPr>
                <w:sz w:val="20"/>
                <w:szCs w:val="20"/>
              </w:rPr>
            </w:pPr>
            <w:r w:rsidRPr="4F895DB2">
              <w:rPr>
                <w:sz w:val="20"/>
                <w:szCs w:val="20"/>
              </w:rPr>
              <w:t>Lot 2 : élaboration de deux études de marché (données de 2025)</w:t>
            </w:r>
            <w:r w:rsidR="32DFC7BC" w:rsidRPr="4F895DB2">
              <w:rPr>
                <w:sz w:val="20"/>
                <w:szCs w:val="20"/>
              </w:rPr>
              <w:t xml:space="preserve"> </w:t>
            </w:r>
            <w:r w:rsidR="48205484" w:rsidRPr="4F895DB2">
              <w:rPr>
                <w:sz w:val="20"/>
                <w:szCs w:val="20"/>
              </w:rPr>
              <w:t>d’une d</w:t>
            </w:r>
            <w:r w:rsidR="7316CC0A" w:rsidRPr="4F895DB2">
              <w:rPr>
                <w:sz w:val="20"/>
                <w:szCs w:val="20"/>
              </w:rPr>
              <w:t>urée</w:t>
            </w:r>
            <w:r w:rsidR="48205484" w:rsidRPr="4F895DB2">
              <w:rPr>
                <w:sz w:val="20"/>
                <w:szCs w:val="20"/>
              </w:rPr>
              <w:t xml:space="preserve"> maximale de </w:t>
            </w:r>
            <w:r w:rsidR="33E0BFF8" w:rsidRPr="4F895DB2">
              <w:rPr>
                <w:b/>
                <w:bCs/>
                <w:sz w:val="20"/>
                <w:szCs w:val="20"/>
              </w:rPr>
              <w:t>dix semaines</w:t>
            </w:r>
            <w:r w:rsidR="754A9F20" w:rsidRPr="4F895DB2">
              <w:rPr>
                <w:b/>
                <w:bCs/>
                <w:sz w:val="20"/>
                <w:szCs w:val="20"/>
              </w:rPr>
              <w:t xml:space="preserve"> </w:t>
            </w:r>
            <w:r w:rsidR="754A9F20" w:rsidRPr="4F895DB2">
              <w:rPr>
                <w:sz w:val="20"/>
                <w:szCs w:val="20"/>
              </w:rPr>
              <w:t>(pour chaque nouvelle étude).</w:t>
            </w:r>
          </w:p>
          <w:p w14:paraId="1E0223DF" w14:textId="77F19353" w:rsidR="000E555E" w:rsidRPr="000E555E" w:rsidRDefault="000E555E" w:rsidP="000E555E">
            <w:pPr>
              <w:jc w:val="both"/>
              <w:rPr>
                <w:rFonts w:cstheme="minorHAnsi"/>
                <w:sz w:val="20"/>
                <w:szCs w:val="20"/>
              </w:rPr>
            </w:pPr>
          </w:p>
        </w:tc>
      </w:tr>
      <w:tr w:rsidR="006B21CF" w:rsidRPr="00461C79" w14:paraId="5503228E" w14:textId="77777777" w:rsidTr="4F895DB2">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7EEAE6F2" w:rsidR="00943341" w:rsidRPr="00D92205" w:rsidRDefault="3C512C9C" w:rsidP="4F895DB2">
            <w:pPr>
              <w:jc w:val="both"/>
              <w:rPr>
                <w:sz w:val="17"/>
                <w:szCs w:val="17"/>
              </w:rPr>
            </w:pPr>
            <w:r w:rsidRPr="4F895DB2">
              <w:rPr>
                <w:sz w:val="18"/>
                <w:szCs w:val="18"/>
              </w:rPr>
              <w:t xml:space="preserve"> </w:t>
            </w:r>
            <w:r w:rsidR="35D64D56" w:rsidRPr="4F895DB2">
              <w:rPr>
                <w:b/>
                <w:bCs/>
                <w:sz w:val="18"/>
                <w:szCs w:val="18"/>
              </w:rPr>
              <w:t xml:space="preserve">OUI </w:t>
            </w:r>
            <w:r w:rsidR="4DBB180A" w:rsidRPr="4F895DB2">
              <w:rPr>
                <w:b/>
                <w:bCs/>
                <w:sz w:val="18"/>
                <w:szCs w:val="18"/>
              </w:rPr>
              <w:t>[] /</w:t>
            </w:r>
            <w:r w:rsidRPr="4F895DB2">
              <w:rPr>
                <w:b/>
                <w:bCs/>
                <w:sz w:val="18"/>
                <w:szCs w:val="18"/>
              </w:rPr>
              <w:t xml:space="preserve">  </w:t>
            </w:r>
            <w:commentRangeStart w:id="31"/>
            <w:r w:rsidRPr="4F895DB2">
              <w:rPr>
                <w:b/>
                <w:bCs/>
                <w:sz w:val="18"/>
                <w:szCs w:val="18"/>
              </w:rPr>
              <w:t xml:space="preserve"> NON </w:t>
            </w:r>
            <w:r w:rsidR="6769E1E0" w:rsidRPr="4F895DB2">
              <w:rPr>
                <w:b/>
                <w:bCs/>
                <w:sz w:val="18"/>
                <w:szCs w:val="18"/>
              </w:rPr>
              <w:t>[X</w:t>
            </w:r>
            <w:r w:rsidRPr="4F895DB2">
              <w:rPr>
                <w:b/>
                <w:bCs/>
                <w:sz w:val="18"/>
                <w:szCs w:val="18"/>
              </w:rPr>
              <w:t>]</w:t>
            </w:r>
            <w:r w:rsidRPr="4F895DB2">
              <w:rPr>
                <w:sz w:val="18"/>
                <w:szCs w:val="18"/>
              </w:rPr>
              <w:t xml:space="preserve">    </w:t>
            </w:r>
            <w:commentRangeEnd w:id="31"/>
            <w:r w:rsidR="00A70C73">
              <w:rPr>
                <w:rStyle w:val="Marquedecommentaire"/>
              </w:rPr>
              <w:commentReference w:id="31"/>
            </w:r>
          </w:p>
          <w:p w14:paraId="0DB20599" w14:textId="77777777" w:rsidR="00943341" w:rsidRPr="00452029" w:rsidRDefault="00943341" w:rsidP="00461C79">
            <w:pPr>
              <w:jc w:val="both"/>
              <w:rPr>
                <w:rFonts w:cstheme="minorHAnsi"/>
                <w:sz w:val="18"/>
                <w:szCs w:val="18"/>
              </w:rPr>
            </w:pPr>
          </w:p>
          <w:p w14:paraId="3ADE8058" w14:textId="2592A6D5" w:rsidR="00943341" w:rsidRPr="00B3172B" w:rsidRDefault="00C42DCD" w:rsidP="00B3172B">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28F73D19" w14:textId="77777777" w:rsidR="00943341" w:rsidRPr="00D92205" w:rsidRDefault="00943341" w:rsidP="00943341">
            <w:pPr>
              <w:rPr>
                <w:rFonts w:cstheme="minorHAnsi"/>
                <w:b/>
                <w:sz w:val="18"/>
                <w:szCs w:val="18"/>
                <w:u w:val="single"/>
              </w:rPr>
            </w:pPr>
          </w:p>
          <w:p w14:paraId="08D0E2FF" w14:textId="01B4C4A7" w:rsidR="00943341" w:rsidRPr="00B3172B" w:rsidRDefault="4990348D" w:rsidP="4F895DB2">
            <w:pPr>
              <w:jc w:val="both"/>
              <w:rPr>
                <w:b/>
                <w:bCs/>
                <w:sz w:val="18"/>
                <w:szCs w:val="18"/>
                <w:u w:val="single"/>
              </w:rPr>
            </w:pPr>
            <w:r w:rsidRPr="4F895DB2">
              <w:rPr>
                <w:i/>
                <w:iCs/>
                <w:sz w:val="18"/>
                <w:szCs w:val="18"/>
              </w:rPr>
              <w:t>Ce</w:t>
            </w:r>
            <w:r w:rsidR="1FF5DEED" w:rsidRPr="4F895DB2">
              <w:rPr>
                <w:i/>
                <w:iCs/>
                <w:sz w:val="18"/>
                <w:szCs w:val="18"/>
              </w:rPr>
              <w:t>(s)</w:t>
            </w:r>
            <w:r w:rsidRPr="4F895DB2">
              <w:rPr>
                <w:i/>
                <w:iCs/>
                <w:sz w:val="18"/>
                <w:szCs w:val="18"/>
              </w:rPr>
              <w:t xml:space="preserve"> pays figure</w:t>
            </w:r>
            <w:r w:rsidR="1FF5DEED" w:rsidRPr="4F895DB2">
              <w:rPr>
                <w:i/>
                <w:iCs/>
                <w:sz w:val="18"/>
                <w:szCs w:val="18"/>
              </w:rPr>
              <w:t>(nt)</w:t>
            </w:r>
            <w:r w:rsidRPr="4F895DB2">
              <w:rPr>
                <w:i/>
                <w:iCs/>
                <w:sz w:val="18"/>
                <w:szCs w:val="18"/>
              </w:rPr>
              <w:t>-t-il</w:t>
            </w:r>
            <w:r w:rsidR="1FF5DEED" w:rsidRPr="4F895DB2">
              <w:rPr>
                <w:i/>
                <w:iCs/>
                <w:sz w:val="18"/>
                <w:szCs w:val="18"/>
              </w:rPr>
              <w:t>(s)</w:t>
            </w:r>
            <w:r w:rsidRPr="4F895DB2">
              <w:rPr>
                <w:i/>
                <w:iCs/>
                <w:sz w:val="18"/>
                <w:szCs w:val="18"/>
              </w:rPr>
              <w:t xml:space="preserve"> bien dans la </w:t>
            </w:r>
            <w:r w:rsidR="4CD81B3C" w:rsidRPr="4F895DB2">
              <w:rPr>
                <w:i/>
                <w:iCs/>
                <w:sz w:val="18"/>
                <w:szCs w:val="18"/>
              </w:rPr>
              <w:t>liste tenue à jour par la Cnil</w:t>
            </w:r>
            <w:r w:rsidR="00AD0DCD" w:rsidRPr="4F895DB2">
              <w:rPr>
                <w:rStyle w:val="Appelnotedebasdep"/>
                <w:i/>
                <w:iCs/>
                <w:sz w:val="18"/>
                <w:szCs w:val="18"/>
              </w:rPr>
              <w:footnoteReference w:id="3"/>
            </w:r>
            <w:r w:rsidRPr="4F895DB2">
              <w:rPr>
                <w:i/>
                <w:iCs/>
                <w:sz w:val="18"/>
                <w:szCs w:val="18"/>
              </w:rPr>
              <w:t xml:space="preserve">, </w:t>
            </w:r>
            <w:r w:rsidR="655E5153" w:rsidRPr="4F895DB2">
              <w:rPr>
                <w:i/>
                <w:iCs/>
                <w:sz w:val="18"/>
                <w:szCs w:val="18"/>
              </w:rPr>
              <w:t>parmi les</w:t>
            </w:r>
            <w:r w:rsidRPr="4F895DB2">
              <w:rPr>
                <w:i/>
                <w:iCs/>
                <w:sz w:val="18"/>
                <w:szCs w:val="18"/>
              </w:rPr>
              <w:t xml:space="preserve"> pays de niveau de protection adéquat</w:t>
            </w:r>
            <w:r w:rsidR="26A1821C" w:rsidRPr="4F895DB2">
              <w:rPr>
                <w:i/>
                <w:iCs/>
                <w:sz w:val="18"/>
                <w:szCs w:val="18"/>
              </w:rPr>
              <w:t xml:space="preserve"> (totalement ou partiellement)</w:t>
            </w:r>
            <w:r w:rsidR="0026784E" w:rsidRPr="4F895DB2">
              <w:rPr>
                <w:i/>
                <w:iCs/>
                <w:sz w:val="18"/>
                <w:szCs w:val="18"/>
              </w:rPr>
              <w:t> </w:t>
            </w:r>
            <w:r w:rsidRPr="4F895DB2">
              <w:rPr>
                <w:i/>
                <w:iCs/>
                <w:sz w:val="18"/>
                <w:szCs w:val="18"/>
              </w:rPr>
              <w:t xml:space="preserve">? </w:t>
            </w:r>
            <w:r w:rsidR="5E3958E4" w:rsidRPr="4F895DB2">
              <w:rPr>
                <w:i/>
                <w:iCs/>
                <w:sz w:val="18"/>
                <w:szCs w:val="18"/>
              </w:rPr>
              <w:t xml:space="preserve"> </w:t>
            </w:r>
            <w:r w:rsidR="659BDD1F" w:rsidRPr="4F895DB2">
              <w:rPr>
                <w:b/>
                <w:bCs/>
                <w:sz w:val="18"/>
                <w:szCs w:val="18"/>
              </w:rPr>
              <w:t xml:space="preserve">OUI </w:t>
            </w:r>
            <w:r w:rsidR="4D6BCF83" w:rsidRPr="4F895DB2">
              <w:rPr>
                <w:b/>
                <w:bCs/>
                <w:sz w:val="18"/>
                <w:szCs w:val="18"/>
              </w:rPr>
              <w:t>[] /</w:t>
            </w:r>
            <w:r w:rsidRPr="4F895DB2">
              <w:rPr>
                <w:b/>
                <w:bCs/>
                <w:sz w:val="18"/>
                <w:szCs w:val="18"/>
              </w:rPr>
              <w:t xml:space="preserve">   NON </w:t>
            </w:r>
            <w:r w:rsidR="4144EE9D" w:rsidRPr="4F895DB2">
              <w:rPr>
                <w:b/>
                <w:bCs/>
                <w:sz w:val="18"/>
                <w:szCs w:val="18"/>
              </w:rPr>
              <w:t>[]</w:t>
            </w:r>
            <w:r w:rsidRPr="4F895DB2">
              <w:rPr>
                <w:sz w:val="18"/>
                <w:szCs w:val="18"/>
              </w:rPr>
              <w:t xml:space="preserve"> </w:t>
            </w:r>
          </w:p>
          <w:p w14:paraId="778C9677" w14:textId="77777777" w:rsidR="00943341" w:rsidRPr="00B3172B" w:rsidRDefault="00943341" w:rsidP="00E34EF5">
            <w:pPr>
              <w:jc w:val="both"/>
              <w:rPr>
                <w:sz w:val="18"/>
                <w:szCs w:val="18"/>
              </w:rPr>
            </w:pPr>
          </w:p>
          <w:p w14:paraId="2261606F" w14:textId="3A5A5DC9" w:rsidR="00943341" w:rsidRPr="00B3172B" w:rsidRDefault="485C148F" w:rsidP="4F895DB2">
            <w:pPr>
              <w:jc w:val="both"/>
              <w:rPr>
                <w:b/>
                <w:bCs/>
                <w:sz w:val="18"/>
                <w:szCs w:val="18"/>
              </w:rPr>
            </w:pPr>
            <w:r w:rsidRPr="4F895DB2">
              <w:rPr>
                <w:i/>
                <w:iCs/>
                <w:sz w:val="18"/>
                <w:szCs w:val="18"/>
              </w:rPr>
              <w:t>Si le pays en question ne bénéficie que d’un niveau de protection partiellement adéquat (ex.</w:t>
            </w:r>
            <w:r w:rsidR="0026784E" w:rsidRPr="4F895DB2">
              <w:rPr>
                <w:i/>
                <w:iCs/>
                <w:sz w:val="18"/>
                <w:szCs w:val="18"/>
              </w:rPr>
              <w:t> </w:t>
            </w:r>
            <w:r w:rsidRPr="4F895DB2">
              <w:rPr>
                <w:i/>
                <w:iCs/>
                <w:sz w:val="18"/>
                <w:szCs w:val="18"/>
              </w:rPr>
              <w:t xml:space="preserve">: Canada ou Etats-Unis), le </w:t>
            </w:r>
            <w:r w:rsidR="00DF317B" w:rsidRPr="4F895DB2">
              <w:rPr>
                <w:i/>
                <w:iCs/>
                <w:sz w:val="18"/>
                <w:szCs w:val="18"/>
              </w:rPr>
              <w:t>sous</w:t>
            </w:r>
            <w:r w:rsidRPr="4F895DB2">
              <w:rPr>
                <w:i/>
                <w:iCs/>
                <w:sz w:val="18"/>
                <w:szCs w:val="18"/>
              </w:rPr>
              <w:t>-traitant est-il considéré comme offrant un niveau de protection adéquat (ex.</w:t>
            </w:r>
            <w:r w:rsidR="0026784E" w:rsidRPr="4F895DB2">
              <w:rPr>
                <w:i/>
                <w:iCs/>
                <w:sz w:val="18"/>
                <w:szCs w:val="18"/>
              </w:rPr>
              <w:t> </w:t>
            </w:r>
            <w:r w:rsidRPr="4F895DB2">
              <w:rPr>
                <w:i/>
                <w:iCs/>
                <w:sz w:val="18"/>
                <w:szCs w:val="18"/>
              </w:rPr>
              <w:t xml:space="preserve">: </w:t>
            </w:r>
            <w:r w:rsidR="00DF317B" w:rsidRPr="4F895DB2">
              <w:rPr>
                <w:i/>
                <w:iCs/>
                <w:sz w:val="18"/>
                <w:szCs w:val="18"/>
              </w:rPr>
              <w:t>sous</w:t>
            </w:r>
            <w:r w:rsidRPr="4F895DB2">
              <w:rPr>
                <w:i/>
                <w:iCs/>
                <w:sz w:val="18"/>
                <w:szCs w:val="18"/>
              </w:rPr>
              <w:t>-traitant américain</w:t>
            </w:r>
            <w:r w:rsidR="7F42BBA2" w:rsidRPr="4F895DB2">
              <w:rPr>
                <w:i/>
                <w:iCs/>
                <w:sz w:val="18"/>
                <w:szCs w:val="18"/>
              </w:rPr>
              <w:t xml:space="preserve"> certifié</w:t>
            </w:r>
            <w:r w:rsidRPr="4F895DB2">
              <w:rPr>
                <w:i/>
                <w:iCs/>
                <w:sz w:val="18"/>
                <w:szCs w:val="18"/>
              </w:rPr>
              <w:t xml:space="preserve"> au</w:t>
            </w:r>
            <w:r w:rsidR="7F42BBA2" w:rsidRPr="4F895DB2">
              <w:rPr>
                <w:i/>
                <w:iCs/>
                <w:sz w:val="18"/>
                <w:szCs w:val="18"/>
              </w:rPr>
              <w:t xml:space="preserve"> titre du</w:t>
            </w:r>
            <w:r w:rsidRPr="4F895DB2">
              <w:rPr>
                <w:i/>
                <w:iCs/>
                <w:sz w:val="18"/>
                <w:szCs w:val="18"/>
              </w:rPr>
              <w:t xml:space="preserve"> </w:t>
            </w:r>
            <w:r w:rsidR="7F42BBA2" w:rsidRPr="4F895DB2">
              <w:rPr>
                <w:i/>
                <w:iCs/>
                <w:sz w:val="18"/>
                <w:szCs w:val="18"/>
              </w:rPr>
              <w:t xml:space="preserve">Data Privacy Framework (DPF) sur le périmètre </w:t>
            </w:r>
            <w:r w:rsidR="592FD984" w:rsidRPr="4F895DB2">
              <w:rPr>
                <w:i/>
                <w:iCs/>
                <w:sz w:val="18"/>
                <w:szCs w:val="18"/>
              </w:rPr>
              <w:t>objet de la sous-traitance)</w:t>
            </w:r>
            <w:r w:rsidR="0026784E" w:rsidRPr="4F895DB2">
              <w:rPr>
                <w:i/>
                <w:iCs/>
                <w:sz w:val="18"/>
                <w:szCs w:val="18"/>
              </w:rPr>
              <w:t> </w:t>
            </w:r>
            <w:r w:rsidR="592FD984" w:rsidRPr="4F895DB2">
              <w:rPr>
                <w:i/>
                <w:iCs/>
                <w:sz w:val="18"/>
                <w:szCs w:val="18"/>
              </w:rPr>
              <w:t>?</w:t>
            </w:r>
            <w:r w:rsidR="1D5C6B8C" w:rsidRPr="4F895DB2">
              <w:rPr>
                <w:sz w:val="18"/>
                <w:szCs w:val="18"/>
              </w:rPr>
              <w:t xml:space="preserve">  </w:t>
            </w:r>
            <w:r w:rsidR="023F32CD" w:rsidRPr="4F895DB2">
              <w:rPr>
                <w:b/>
                <w:bCs/>
                <w:sz w:val="18"/>
                <w:szCs w:val="18"/>
              </w:rPr>
              <w:t xml:space="preserve">OUI </w:t>
            </w:r>
            <w:r w:rsidR="3490DFEC" w:rsidRPr="4F895DB2">
              <w:rPr>
                <w:b/>
                <w:bCs/>
                <w:sz w:val="18"/>
                <w:szCs w:val="18"/>
              </w:rPr>
              <w:t>[] /</w:t>
            </w:r>
            <w:r w:rsidR="7F42BBA2" w:rsidRPr="4F895DB2">
              <w:rPr>
                <w:b/>
                <w:bCs/>
                <w:sz w:val="18"/>
                <w:szCs w:val="18"/>
              </w:rPr>
              <w:t xml:space="preserve">   NON </w:t>
            </w:r>
            <w:r w:rsidR="69F89177" w:rsidRPr="4F895DB2">
              <w:rPr>
                <w:b/>
                <w:bCs/>
                <w:sz w:val="18"/>
                <w:szCs w:val="18"/>
              </w:rPr>
              <w:t>[]</w:t>
            </w:r>
          </w:p>
          <w:p w14:paraId="16A01355" w14:textId="77777777" w:rsidR="00943341" w:rsidRPr="00B3172B" w:rsidRDefault="00943341" w:rsidP="00D92205">
            <w:pPr>
              <w:rPr>
                <w:sz w:val="18"/>
                <w:szCs w:val="18"/>
              </w:rPr>
            </w:pPr>
          </w:p>
          <w:p w14:paraId="1563852B" w14:textId="7F4877C8" w:rsidR="00F96CA9" w:rsidRPr="00D92205" w:rsidRDefault="4CD81B3C" w:rsidP="00E34EF5">
            <w:pPr>
              <w:jc w:val="both"/>
              <w:rPr>
                <w:sz w:val="18"/>
                <w:szCs w:val="18"/>
              </w:rPr>
            </w:pPr>
            <w:r w:rsidRPr="4F895DB2">
              <w:rPr>
                <w:i/>
                <w:iCs/>
                <w:sz w:val="18"/>
                <w:szCs w:val="18"/>
              </w:rPr>
              <w:t xml:space="preserve">Ces transferts de données sont-ils opérés </w:t>
            </w:r>
            <w:r w:rsidR="29CA9724" w:rsidRPr="4F895DB2">
              <w:rPr>
                <w:i/>
                <w:iCs/>
                <w:sz w:val="18"/>
                <w:szCs w:val="18"/>
              </w:rPr>
              <w:t xml:space="preserve">entre le responsable de traitement et </w:t>
            </w:r>
            <w:r w:rsidRPr="4F895DB2">
              <w:rPr>
                <w:i/>
                <w:iCs/>
                <w:sz w:val="18"/>
                <w:szCs w:val="18"/>
              </w:rPr>
              <w:t xml:space="preserve">le </w:t>
            </w:r>
            <w:r w:rsidR="00DF317B" w:rsidRPr="4F895DB2">
              <w:rPr>
                <w:i/>
                <w:iCs/>
                <w:sz w:val="18"/>
                <w:szCs w:val="18"/>
              </w:rPr>
              <w:t>sous</w:t>
            </w:r>
            <w:r w:rsidRPr="4F895DB2">
              <w:rPr>
                <w:i/>
                <w:iCs/>
                <w:sz w:val="18"/>
                <w:szCs w:val="18"/>
              </w:rPr>
              <w:t>-traitant</w:t>
            </w:r>
            <w:r w:rsidR="29CA9724" w:rsidRPr="4F895DB2">
              <w:rPr>
                <w:i/>
                <w:iCs/>
                <w:sz w:val="18"/>
                <w:szCs w:val="18"/>
              </w:rPr>
              <w:t xml:space="preserve"> </w:t>
            </w:r>
            <w:r w:rsidRPr="4F895DB2">
              <w:rPr>
                <w:i/>
                <w:iCs/>
                <w:sz w:val="18"/>
                <w:szCs w:val="18"/>
              </w:rPr>
              <w:t>lui-même</w:t>
            </w:r>
            <w:r w:rsidR="0026784E" w:rsidRPr="4F895DB2">
              <w:rPr>
                <w:i/>
                <w:iCs/>
                <w:sz w:val="18"/>
                <w:szCs w:val="18"/>
              </w:rPr>
              <w:t> </w:t>
            </w:r>
            <w:r w:rsidR="29CA9724" w:rsidRPr="4F895DB2">
              <w:rPr>
                <w:i/>
                <w:iCs/>
                <w:sz w:val="18"/>
                <w:szCs w:val="18"/>
              </w:rPr>
              <w:t>(sous-traitant de rang 1)</w:t>
            </w:r>
            <w:r w:rsidR="29CA9724" w:rsidRPr="4F895DB2">
              <w:rPr>
                <w:sz w:val="18"/>
                <w:szCs w:val="18"/>
              </w:rPr>
              <w:t xml:space="preserve"> </w:t>
            </w:r>
            <w:r w:rsidRPr="4F895DB2">
              <w:rPr>
                <w:sz w:val="18"/>
                <w:szCs w:val="18"/>
              </w:rPr>
              <w:t xml:space="preserve">: </w:t>
            </w:r>
            <w:r w:rsidR="2C9EA38B" w:rsidRPr="4F895DB2">
              <w:rPr>
                <w:b/>
                <w:bCs/>
                <w:sz w:val="18"/>
                <w:szCs w:val="18"/>
              </w:rPr>
              <w:t xml:space="preserve">OUI </w:t>
            </w:r>
            <w:r w:rsidR="784586F0" w:rsidRPr="4F895DB2">
              <w:rPr>
                <w:b/>
                <w:bCs/>
                <w:sz w:val="18"/>
                <w:szCs w:val="18"/>
              </w:rPr>
              <w:t>[] /</w:t>
            </w:r>
            <w:r w:rsidRPr="4F895DB2">
              <w:rPr>
                <w:b/>
                <w:bCs/>
                <w:sz w:val="18"/>
                <w:szCs w:val="18"/>
              </w:rPr>
              <w:t xml:space="preserve">   NON</w:t>
            </w:r>
            <w:r w:rsidR="29CA9724" w:rsidRPr="4F895DB2">
              <w:rPr>
                <w:b/>
                <w:bCs/>
                <w:sz w:val="18"/>
                <w:szCs w:val="18"/>
              </w:rPr>
              <w:t xml:space="preserve"> </w:t>
            </w:r>
            <w:r w:rsidR="56A7F407" w:rsidRPr="4F895DB2">
              <w:rPr>
                <w:b/>
                <w:bCs/>
                <w:sz w:val="18"/>
                <w:szCs w:val="18"/>
              </w:rPr>
              <w:t>[]</w:t>
            </w:r>
            <w:r w:rsidRPr="4F895DB2">
              <w:rPr>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7E027F81" w:rsidR="004237FD" w:rsidRDefault="7F42BBA2" w:rsidP="4F895DB2">
            <w:pPr>
              <w:jc w:val="both"/>
              <w:rPr>
                <w:color w:val="FF0000"/>
                <w:sz w:val="18"/>
                <w:szCs w:val="18"/>
              </w:rPr>
            </w:pPr>
            <w:r w:rsidRPr="4F895DB2">
              <w:rPr>
                <w:b/>
                <w:bCs/>
                <w:color w:val="FF0000"/>
                <w:sz w:val="18"/>
                <w:szCs w:val="18"/>
                <w:u w:val="single"/>
              </w:rPr>
              <w:t>ATTENTION</w:t>
            </w:r>
            <w:r w:rsidR="0026784E" w:rsidRPr="4F895DB2">
              <w:rPr>
                <w:b/>
                <w:bCs/>
                <w:color w:val="FF0000"/>
                <w:sz w:val="18"/>
                <w:szCs w:val="18"/>
              </w:rPr>
              <w:t> </w:t>
            </w:r>
            <w:r w:rsidRPr="4F895DB2">
              <w:rPr>
                <w:b/>
                <w:bCs/>
                <w:color w:val="FF0000"/>
                <w:sz w:val="18"/>
                <w:szCs w:val="18"/>
              </w:rPr>
              <w:t xml:space="preserve">: </w:t>
            </w:r>
            <w:r w:rsidR="4CD81B3C" w:rsidRPr="4F895DB2">
              <w:rPr>
                <w:b/>
                <w:bCs/>
                <w:color w:val="FF0000"/>
                <w:sz w:val="18"/>
                <w:szCs w:val="18"/>
              </w:rPr>
              <w:t xml:space="preserve">Si </w:t>
            </w:r>
            <w:r w:rsidR="703B327D" w:rsidRPr="4F895DB2">
              <w:rPr>
                <w:b/>
                <w:bCs/>
                <w:color w:val="FF0000"/>
                <w:sz w:val="18"/>
                <w:szCs w:val="18"/>
              </w:rPr>
              <w:t xml:space="preserve">des transferts </w:t>
            </w:r>
            <w:bookmarkStart w:id="32" w:name="_Int_7E3vEVc3"/>
            <w:r w:rsidR="66EB7074" w:rsidRPr="4F895DB2">
              <w:rPr>
                <w:b/>
                <w:bCs/>
                <w:color w:val="FF0000"/>
                <w:sz w:val="18"/>
                <w:szCs w:val="18"/>
              </w:rPr>
              <w:t>hors</w:t>
            </w:r>
            <w:bookmarkEnd w:id="32"/>
            <w:r w:rsidR="703B327D" w:rsidRPr="4F895DB2">
              <w:rPr>
                <w:b/>
                <w:bCs/>
                <w:color w:val="FF0000"/>
                <w:sz w:val="18"/>
                <w:szCs w:val="18"/>
              </w:rPr>
              <w:t xml:space="preserve"> EEE sont effectuées </w:t>
            </w:r>
            <w:r w:rsidR="29CA9724" w:rsidRPr="4F895DB2">
              <w:rPr>
                <w:b/>
                <w:bCs/>
                <w:color w:val="FF0000"/>
                <w:sz w:val="18"/>
                <w:szCs w:val="18"/>
              </w:rPr>
              <w:t xml:space="preserve">entre le responsable de traitement et </w:t>
            </w:r>
            <w:r w:rsidR="703B327D" w:rsidRPr="4F895DB2">
              <w:rPr>
                <w:b/>
                <w:bCs/>
                <w:color w:val="FF0000"/>
                <w:sz w:val="18"/>
                <w:szCs w:val="18"/>
              </w:rPr>
              <w:t xml:space="preserve">le </w:t>
            </w:r>
            <w:r w:rsidR="00DF317B" w:rsidRPr="4F895DB2">
              <w:rPr>
                <w:b/>
                <w:bCs/>
                <w:color w:val="FF0000"/>
                <w:sz w:val="18"/>
                <w:szCs w:val="18"/>
              </w:rPr>
              <w:t>sous</w:t>
            </w:r>
            <w:r w:rsidR="703B327D" w:rsidRPr="4F895DB2">
              <w:rPr>
                <w:b/>
                <w:bCs/>
                <w:color w:val="FF0000"/>
                <w:sz w:val="18"/>
                <w:szCs w:val="18"/>
              </w:rPr>
              <w:t>-traitant lui-même</w:t>
            </w:r>
            <w:r w:rsidR="29CA9724" w:rsidRPr="4F895DB2">
              <w:rPr>
                <w:b/>
                <w:bCs/>
                <w:color w:val="FF0000"/>
                <w:sz w:val="18"/>
                <w:szCs w:val="18"/>
              </w:rPr>
              <w:t xml:space="preserve"> (sous-traitant de rang 1),</w:t>
            </w:r>
            <w:r w:rsidR="703B327D" w:rsidRPr="4F895DB2">
              <w:rPr>
                <w:b/>
                <w:bCs/>
                <w:color w:val="FF0000"/>
                <w:sz w:val="18"/>
                <w:szCs w:val="18"/>
              </w:rPr>
              <w:t xml:space="preserve"> vers des pays</w:t>
            </w:r>
            <w:r w:rsidRPr="4F895DB2">
              <w:rPr>
                <w:b/>
                <w:bCs/>
                <w:color w:val="FF0000"/>
                <w:sz w:val="18"/>
                <w:szCs w:val="18"/>
              </w:rPr>
              <w:t xml:space="preserve"> </w:t>
            </w:r>
            <w:r w:rsidR="26A1821C" w:rsidRPr="4F895DB2">
              <w:rPr>
                <w:b/>
                <w:bCs/>
                <w:color w:val="FF0000"/>
                <w:sz w:val="18"/>
                <w:szCs w:val="18"/>
              </w:rPr>
              <w:t xml:space="preserve">considérés comme </w:t>
            </w:r>
            <w:r w:rsidR="703B327D" w:rsidRPr="4F895DB2">
              <w:rPr>
                <w:b/>
                <w:bCs/>
                <w:color w:val="FF0000"/>
                <w:sz w:val="18"/>
                <w:szCs w:val="18"/>
              </w:rPr>
              <w:t>non adéquat</w:t>
            </w:r>
            <w:r w:rsidRPr="4F895DB2">
              <w:rPr>
                <w:b/>
                <w:bCs/>
                <w:color w:val="FF0000"/>
                <w:sz w:val="18"/>
                <w:szCs w:val="18"/>
              </w:rPr>
              <w:t>s</w:t>
            </w:r>
            <w:r w:rsidR="26A1821C" w:rsidRPr="4F895DB2">
              <w:rPr>
                <w:b/>
                <w:bCs/>
                <w:color w:val="FF0000"/>
                <w:sz w:val="18"/>
                <w:szCs w:val="18"/>
              </w:rPr>
              <w:t xml:space="preserve"> par la Commission européenne</w:t>
            </w:r>
            <w:r w:rsidR="4990348D" w:rsidRPr="4F895DB2">
              <w:rPr>
                <w:b/>
                <w:bCs/>
                <w:color w:val="FF0000"/>
                <w:sz w:val="18"/>
                <w:szCs w:val="18"/>
              </w:rPr>
              <w:t xml:space="preserve">, </w:t>
            </w:r>
            <w:r w:rsidR="4990348D" w:rsidRPr="4F895DB2">
              <w:rPr>
                <w:b/>
                <w:bCs/>
                <w:color w:val="FF0000"/>
                <w:sz w:val="18"/>
                <w:szCs w:val="18"/>
                <w:u w:val="single"/>
              </w:rPr>
              <w:t>la présente Annexe</w:t>
            </w:r>
            <w:r w:rsidRPr="4F895DB2">
              <w:rPr>
                <w:b/>
                <w:bCs/>
                <w:color w:val="FF0000"/>
                <w:sz w:val="18"/>
                <w:szCs w:val="18"/>
                <w:u w:val="single"/>
              </w:rPr>
              <w:t xml:space="preserve"> RGPD</w:t>
            </w:r>
            <w:r w:rsidR="4990348D" w:rsidRPr="4F895DB2">
              <w:rPr>
                <w:b/>
                <w:bCs/>
                <w:color w:val="FF0000"/>
                <w:sz w:val="18"/>
                <w:szCs w:val="18"/>
                <w:u w:val="single"/>
              </w:rPr>
              <w:t xml:space="preserve"> ne peut être </w:t>
            </w:r>
            <w:r w:rsidRPr="4F895DB2">
              <w:rPr>
                <w:b/>
                <w:bCs/>
                <w:color w:val="FF0000"/>
                <w:sz w:val="18"/>
                <w:szCs w:val="18"/>
                <w:u w:val="single"/>
              </w:rPr>
              <w:t>utilisée</w:t>
            </w:r>
            <w:r w:rsidR="4990348D" w:rsidRPr="4F895DB2">
              <w:rPr>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4"/>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4"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4"/>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65F3D515" w14:textId="38E95C07" w:rsidR="009A1387" w:rsidRPr="009A1387" w:rsidRDefault="006F5157" w:rsidP="009A1387">
      <w:pPr>
        <w:spacing w:after="0"/>
        <w:jc w:val="both"/>
        <w:rPr>
          <w:rFonts w:cstheme="minorHAnsi"/>
          <w:bCs/>
          <w:sz w:val="20"/>
          <w:szCs w:val="20"/>
        </w:rPr>
      </w:pPr>
      <w:r w:rsidRPr="009A1387">
        <w:rPr>
          <w:rFonts w:cstheme="minorHAnsi"/>
          <w:i/>
          <w:iCs/>
          <w:sz w:val="20"/>
          <w:szCs w:val="20"/>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w:t>
      </w:r>
      <w:r w:rsidR="009A1387" w:rsidRPr="009A1387">
        <w:rPr>
          <w:rFonts w:cstheme="minorHAnsi"/>
          <w:i/>
          <w:iCs/>
          <w:sz w:val="20"/>
          <w:szCs w:val="20"/>
        </w:rPr>
        <w:t xml:space="preserve"> </w:t>
      </w:r>
      <w:r w:rsidR="009A1387" w:rsidRPr="009A1387">
        <w:rPr>
          <w:rFonts w:cstheme="minorHAnsi"/>
          <w:b/>
          <w:bCs/>
          <w:sz w:val="20"/>
          <w:szCs w:val="20"/>
          <w:highlight w:val="yellow"/>
        </w:rPr>
        <w:t>[à compléter à l’issue de la consultation]</w:t>
      </w:r>
      <w:r w:rsidR="009A1387">
        <w:rPr>
          <w:rFonts w:cstheme="minorHAnsi"/>
          <w:b/>
          <w:bCs/>
          <w:sz w:val="20"/>
          <w:szCs w:val="20"/>
        </w:rPr>
        <w:t>.</w:t>
      </w:r>
    </w:p>
    <w:p w14:paraId="223551D2" w14:textId="564284F5" w:rsidR="00C1192B" w:rsidRPr="009A1387" w:rsidRDefault="00C1192B" w:rsidP="00D92205">
      <w:pPr>
        <w:spacing w:after="0" w:line="240" w:lineRule="exact"/>
        <w:jc w:val="both"/>
        <w:rPr>
          <w:rFonts w:cstheme="minorHAnsi"/>
          <w:i/>
          <w:iCs/>
          <w:sz w:val="20"/>
          <w:szCs w:val="20"/>
        </w:rPr>
      </w:pPr>
    </w:p>
    <w:p w14:paraId="69817F2F" w14:textId="77777777" w:rsidR="009A1387" w:rsidRPr="009A1387" w:rsidRDefault="009A1387" w:rsidP="00D92205">
      <w:pPr>
        <w:spacing w:after="0" w:line="240" w:lineRule="exact"/>
        <w:jc w:val="both"/>
        <w:rPr>
          <w:rFonts w:cstheme="minorHAnsi"/>
          <w:i/>
          <w:iCs/>
          <w:sz w:val="20"/>
          <w:szCs w:val="20"/>
        </w:rPr>
      </w:pPr>
    </w:p>
    <w:p w14:paraId="31F8913B" w14:textId="022ECC4A" w:rsidR="006F5157" w:rsidRPr="009A1387" w:rsidRDefault="006F5157" w:rsidP="00D92205">
      <w:pPr>
        <w:spacing w:after="0" w:line="240" w:lineRule="exact"/>
        <w:jc w:val="both"/>
        <w:rPr>
          <w:rFonts w:cstheme="minorHAnsi"/>
          <w:i/>
          <w:iCs/>
          <w:sz w:val="20"/>
          <w:szCs w:val="20"/>
        </w:rPr>
      </w:pPr>
      <w:r w:rsidRPr="009A1387">
        <w:rPr>
          <w:rFonts w:cstheme="minorHAnsi"/>
          <w:i/>
          <w:iCs/>
          <w:sz w:val="20"/>
          <w:szCs w:val="20"/>
        </w:rPr>
        <w:t>Exemples de mesures possibles</w:t>
      </w:r>
      <w:r w:rsidR="00496A03" w:rsidRPr="009A1387">
        <w:rPr>
          <w:rFonts w:cstheme="minorHAnsi"/>
          <w:i/>
          <w:iCs/>
          <w:sz w:val="20"/>
          <w:szCs w:val="20"/>
        </w:rPr>
        <w:t> </w:t>
      </w:r>
      <w:r w:rsidRPr="009A1387">
        <w:rPr>
          <w:rFonts w:cstheme="minorHAnsi"/>
          <w:i/>
          <w:iCs/>
          <w:sz w:val="20"/>
          <w:szCs w:val="20"/>
        </w:rPr>
        <w:t>:</w:t>
      </w:r>
    </w:p>
    <w:p w14:paraId="78FB20E6" w14:textId="7E261CF5"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de pseudonymisation et de chiffrement des données à caractère personnel</w:t>
      </w:r>
      <w:r w:rsidR="00496A03" w:rsidRPr="009A1387">
        <w:rPr>
          <w:rFonts w:cstheme="minorHAnsi"/>
          <w:i/>
          <w:iCs/>
          <w:sz w:val="20"/>
          <w:szCs w:val="20"/>
        </w:rPr>
        <w:t> </w:t>
      </w:r>
      <w:r w:rsidR="006F5157" w:rsidRPr="009A1387">
        <w:rPr>
          <w:rFonts w:cstheme="minorHAnsi"/>
          <w:i/>
          <w:iCs/>
          <w:sz w:val="20"/>
          <w:szCs w:val="20"/>
        </w:rPr>
        <w:t>;</w:t>
      </w:r>
    </w:p>
    <w:p w14:paraId="5A1471F5" w14:textId="6E8789C7"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la confidentialité, l</w:t>
      </w:r>
      <w:r w:rsidR="00B335ED" w:rsidRPr="009A1387">
        <w:rPr>
          <w:rFonts w:cstheme="minorHAnsi"/>
          <w:i/>
          <w:iCs/>
          <w:sz w:val="20"/>
          <w:szCs w:val="20"/>
        </w:rPr>
        <w:t>’</w:t>
      </w:r>
      <w:r w:rsidR="006F5157" w:rsidRPr="009A1387">
        <w:rPr>
          <w:rFonts w:cstheme="minorHAnsi"/>
          <w:i/>
          <w:iCs/>
          <w:sz w:val="20"/>
          <w:szCs w:val="20"/>
        </w:rPr>
        <w:t>intégrité, la disponibilité et la résilience constantes des systèmes et des services de traitement</w:t>
      </w:r>
      <w:r w:rsidR="00496A03" w:rsidRPr="009A1387">
        <w:rPr>
          <w:rFonts w:cstheme="minorHAnsi"/>
          <w:i/>
          <w:iCs/>
          <w:sz w:val="20"/>
          <w:szCs w:val="20"/>
        </w:rPr>
        <w:t> </w:t>
      </w:r>
      <w:r w:rsidR="006F5157" w:rsidRPr="009A1387">
        <w:rPr>
          <w:rFonts w:cstheme="minorHAnsi"/>
          <w:i/>
          <w:iCs/>
          <w:sz w:val="20"/>
          <w:szCs w:val="20"/>
        </w:rPr>
        <w:t>;</w:t>
      </w:r>
    </w:p>
    <w:p w14:paraId="7784A878" w14:textId="603F44C9"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assurant de disposer de moyens permettant de rétablir la disponibilité des données à caractère personnel et l</w:t>
      </w:r>
      <w:r w:rsidR="00B335ED" w:rsidRPr="009A1387">
        <w:rPr>
          <w:rFonts w:cstheme="minorHAnsi"/>
          <w:i/>
          <w:iCs/>
          <w:sz w:val="20"/>
          <w:szCs w:val="20"/>
        </w:rPr>
        <w:t>’</w:t>
      </w:r>
      <w:r w:rsidR="006F5157" w:rsidRPr="009A1387">
        <w:rPr>
          <w:rFonts w:cstheme="minorHAnsi"/>
          <w:i/>
          <w:iCs/>
          <w:sz w:val="20"/>
          <w:szCs w:val="20"/>
        </w:rPr>
        <w:t>accès à celles-ci dans des délais appropriés en cas d</w:t>
      </w:r>
      <w:r w:rsidR="00B335ED" w:rsidRPr="009A1387">
        <w:rPr>
          <w:rFonts w:cstheme="minorHAnsi"/>
          <w:i/>
          <w:iCs/>
          <w:sz w:val="20"/>
          <w:szCs w:val="20"/>
        </w:rPr>
        <w:t>’</w:t>
      </w:r>
      <w:r w:rsidR="006F5157" w:rsidRPr="009A1387">
        <w:rPr>
          <w:rFonts w:cstheme="minorHAnsi"/>
          <w:i/>
          <w:iCs/>
          <w:sz w:val="20"/>
          <w:szCs w:val="20"/>
        </w:rPr>
        <w:t>incident physique ou technique</w:t>
      </w:r>
      <w:r w:rsidR="00496A03" w:rsidRPr="009A1387">
        <w:rPr>
          <w:rFonts w:cstheme="minorHAnsi"/>
          <w:i/>
          <w:iCs/>
          <w:sz w:val="20"/>
          <w:szCs w:val="20"/>
        </w:rPr>
        <w:t> </w:t>
      </w:r>
      <w:r w:rsidR="006F5157" w:rsidRPr="009A1387">
        <w:rPr>
          <w:rFonts w:cstheme="minorHAnsi"/>
          <w:i/>
          <w:iCs/>
          <w:sz w:val="20"/>
          <w:szCs w:val="20"/>
        </w:rPr>
        <w:t>;</w:t>
      </w:r>
    </w:p>
    <w:p w14:paraId="56F948CC" w14:textId="62512DDA"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P</w:t>
      </w:r>
      <w:r w:rsidR="006F5157" w:rsidRPr="009A1387">
        <w:rPr>
          <w:rFonts w:cstheme="minorHAnsi"/>
          <w:i/>
          <w:iCs/>
          <w:sz w:val="20"/>
          <w:szCs w:val="20"/>
        </w:rPr>
        <w:t>rocédures visant à tester, à analyser et à évaluer régulièrement l</w:t>
      </w:r>
      <w:r w:rsidR="00B335ED" w:rsidRPr="009A1387">
        <w:rPr>
          <w:rFonts w:cstheme="minorHAnsi"/>
          <w:i/>
          <w:iCs/>
          <w:sz w:val="20"/>
          <w:szCs w:val="20"/>
        </w:rPr>
        <w:t>’</w:t>
      </w:r>
      <w:r w:rsidR="006F5157" w:rsidRPr="009A1387">
        <w:rPr>
          <w:rFonts w:cstheme="minorHAnsi"/>
          <w:i/>
          <w:iCs/>
          <w:sz w:val="20"/>
          <w:szCs w:val="20"/>
        </w:rPr>
        <w:t>efficacité des mesures techniques et organisationnelles pour assurer la sécurité du traitement</w:t>
      </w:r>
      <w:r w:rsidR="00496A03" w:rsidRPr="009A1387">
        <w:rPr>
          <w:rFonts w:cstheme="minorHAnsi"/>
          <w:i/>
          <w:iCs/>
          <w:sz w:val="20"/>
          <w:szCs w:val="20"/>
        </w:rPr>
        <w:t> </w:t>
      </w:r>
      <w:r w:rsidR="006F5157" w:rsidRPr="009A1387">
        <w:rPr>
          <w:rFonts w:cstheme="minorHAnsi"/>
          <w:i/>
          <w:iCs/>
          <w:sz w:val="20"/>
          <w:szCs w:val="20"/>
        </w:rPr>
        <w:t>;</w:t>
      </w:r>
    </w:p>
    <w:p w14:paraId="1344C87E" w14:textId="73446328"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d</w:t>
      </w:r>
      <w:r w:rsidR="00B335ED" w:rsidRPr="009A1387">
        <w:rPr>
          <w:rFonts w:cstheme="minorHAnsi"/>
          <w:i/>
          <w:iCs/>
          <w:sz w:val="20"/>
          <w:szCs w:val="20"/>
        </w:rPr>
        <w:t>’</w:t>
      </w:r>
      <w:r w:rsidR="006F5157" w:rsidRPr="009A1387">
        <w:rPr>
          <w:rFonts w:cstheme="minorHAnsi"/>
          <w:i/>
          <w:iCs/>
          <w:sz w:val="20"/>
          <w:szCs w:val="20"/>
        </w:rPr>
        <w:t>identification et d</w:t>
      </w:r>
      <w:r w:rsidR="00B335ED" w:rsidRPr="009A1387">
        <w:rPr>
          <w:rFonts w:cstheme="minorHAnsi"/>
          <w:i/>
          <w:iCs/>
          <w:sz w:val="20"/>
          <w:szCs w:val="20"/>
        </w:rPr>
        <w:t>’</w:t>
      </w:r>
      <w:r w:rsidR="006F5157" w:rsidRPr="009A1387">
        <w:rPr>
          <w:rFonts w:cstheme="minorHAnsi"/>
          <w:i/>
          <w:iCs/>
          <w:sz w:val="20"/>
          <w:szCs w:val="20"/>
        </w:rPr>
        <w:t>autorisation de l</w:t>
      </w:r>
      <w:r w:rsidR="00B335ED" w:rsidRPr="009A1387">
        <w:rPr>
          <w:rFonts w:cstheme="minorHAnsi"/>
          <w:i/>
          <w:iCs/>
          <w:sz w:val="20"/>
          <w:szCs w:val="20"/>
        </w:rPr>
        <w:t>’</w:t>
      </w:r>
      <w:r w:rsidR="006F5157" w:rsidRPr="009A1387">
        <w:rPr>
          <w:rFonts w:cstheme="minorHAnsi"/>
          <w:i/>
          <w:iCs/>
          <w:sz w:val="20"/>
          <w:szCs w:val="20"/>
        </w:rPr>
        <w:t>utilisateur</w:t>
      </w:r>
      <w:r w:rsidR="00496A03" w:rsidRPr="009A1387">
        <w:rPr>
          <w:rFonts w:cstheme="minorHAnsi"/>
          <w:i/>
          <w:iCs/>
          <w:sz w:val="20"/>
          <w:szCs w:val="20"/>
        </w:rPr>
        <w:t> </w:t>
      </w:r>
      <w:r w:rsidR="006F5157" w:rsidRPr="009A1387">
        <w:rPr>
          <w:rFonts w:cstheme="minorHAnsi"/>
          <w:i/>
          <w:iCs/>
          <w:sz w:val="20"/>
          <w:szCs w:val="20"/>
        </w:rPr>
        <w:t>;</w:t>
      </w:r>
    </w:p>
    <w:p w14:paraId="6A489C19" w14:textId="1D5281A2"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de protection des données pendant la transmission</w:t>
      </w:r>
      <w:r w:rsidR="00496A03" w:rsidRPr="009A1387">
        <w:rPr>
          <w:rFonts w:cstheme="minorHAnsi"/>
          <w:i/>
          <w:iCs/>
          <w:sz w:val="20"/>
          <w:szCs w:val="20"/>
        </w:rPr>
        <w:t> </w:t>
      </w:r>
      <w:r w:rsidR="006F5157" w:rsidRPr="009A1387">
        <w:rPr>
          <w:rFonts w:cstheme="minorHAnsi"/>
          <w:i/>
          <w:iCs/>
          <w:sz w:val="20"/>
          <w:szCs w:val="20"/>
        </w:rPr>
        <w:t>;</w:t>
      </w:r>
    </w:p>
    <w:p w14:paraId="656732EB" w14:textId="247D0E1C"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de protection des données pendant le stockage</w:t>
      </w:r>
      <w:r w:rsidR="00496A03" w:rsidRPr="009A1387">
        <w:rPr>
          <w:rFonts w:cstheme="minorHAnsi"/>
          <w:i/>
          <w:iCs/>
          <w:sz w:val="20"/>
          <w:szCs w:val="20"/>
        </w:rPr>
        <w:t> </w:t>
      </w:r>
      <w:r w:rsidR="006F5157" w:rsidRPr="009A1387">
        <w:rPr>
          <w:rFonts w:cstheme="minorHAnsi"/>
          <w:i/>
          <w:iCs/>
          <w:sz w:val="20"/>
          <w:szCs w:val="20"/>
        </w:rPr>
        <w:t>;</w:t>
      </w:r>
    </w:p>
    <w:p w14:paraId="4E52F4E8" w14:textId="608D2CCB"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la sécurité physique des sites où les données à caractère personnel sont traitées</w:t>
      </w:r>
      <w:r w:rsidR="00496A03" w:rsidRPr="009A1387">
        <w:rPr>
          <w:rFonts w:cstheme="minorHAnsi"/>
          <w:i/>
          <w:iCs/>
          <w:sz w:val="20"/>
          <w:szCs w:val="20"/>
        </w:rPr>
        <w:t> </w:t>
      </w:r>
      <w:r w:rsidR="006F5157" w:rsidRPr="009A1387">
        <w:rPr>
          <w:rFonts w:cstheme="minorHAnsi"/>
          <w:i/>
          <w:iCs/>
          <w:sz w:val="20"/>
          <w:szCs w:val="20"/>
        </w:rPr>
        <w:t>;</w:t>
      </w:r>
    </w:p>
    <w:p w14:paraId="7B527A39" w14:textId="42BD658B"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l</w:t>
      </w:r>
      <w:r w:rsidR="00B335ED" w:rsidRPr="009A1387">
        <w:rPr>
          <w:rFonts w:cstheme="minorHAnsi"/>
          <w:i/>
          <w:iCs/>
          <w:sz w:val="20"/>
          <w:szCs w:val="20"/>
        </w:rPr>
        <w:t>’</w:t>
      </w:r>
      <w:r w:rsidR="006F5157" w:rsidRPr="009A1387">
        <w:rPr>
          <w:rFonts w:cstheme="minorHAnsi"/>
          <w:i/>
          <w:iCs/>
          <w:sz w:val="20"/>
          <w:szCs w:val="20"/>
        </w:rPr>
        <w:t>enregistrement des événements</w:t>
      </w:r>
      <w:r w:rsidR="00496A03" w:rsidRPr="009A1387">
        <w:rPr>
          <w:rFonts w:cstheme="minorHAnsi"/>
          <w:i/>
          <w:iCs/>
          <w:sz w:val="20"/>
          <w:szCs w:val="20"/>
        </w:rPr>
        <w:t> </w:t>
      </w:r>
      <w:r w:rsidR="006F5157" w:rsidRPr="009A1387">
        <w:rPr>
          <w:rFonts w:cstheme="minorHAnsi"/>
          <w:i/>
          <w:iCs/>
          <w:sz w:val="20"/>
          <w:szCs w:val="20"/>
        </w:rPr>
        <w:t>;</w:t>
      </w:r>
    </w:p>
    <w:p w14:paraId="19958615" w14:textId="0B527936"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assurer la configuration des systèmes, y compris la configuration par défaut</w:t>
      </w:r>
      <w:r w:rsidR="00496A03" w:rsidRPr="009A1387">
        <w:rPr>
          <w:rFonts w:cstheme="minorHAnsi"/>
          <w:i/>
          <w:iCs/>
          <w:sz w:val="20"/>
          <w:szCs w:val="20"/>
        </w:rPr>
        <w:t> </w:t>
      </w:r>
      <w:r w:rsidR="006F5157" w:rsidRPr="009A1387">
        <w:rPr>
          <w:rFonts w:cstheme="minorHAnsi"/>
          <w:i/>
          <w:iCs/>
          <w:sz w:val="20"/>
          <w:szCs w:val="20"/>
        </w:rPr>
        <w:t>;</w:t>
      </w:r>
    </w:p>
    <w:p w14:paraId="1C0F84E6" w14:textId="16322641"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de gouvernance et de gestion de l</w:t>
      </w:r>
      <w:r w:rsidR="00B335ED" w:rsidRPr="009A1387">
        <w:rPr>
          <w:rFonts w:cstheme="minorHAnsi"/>
          <w:i/>
          <w:iCs/>
          <w:sz w:val="20"/>
          <w:szCs w:val="20"/>
        </w:rPr>
        <w:t>’</w:t>
      </w:r>
      <w:r w:rsidR="006F5157" w:rsidRPr="009A1387">
        <w:rPr>
          <w:rFonts w:cstheme="minorHAnsi"/>
          <w:i/>
          <w:iCs/>
          <w:sz w:val="20"/>
          <w:szCs w:val="20"/>
        </w:rPr>
        <w:t>informatique interne et de la sécurité informatique</w:t>
      </w:r>
      <w:r w:rsidR="00496A03" w:rsidRPr="009A1387">
        <w:rPr>
          <w:rFonts w:cstheme="minorHAnsi"/>
          <w:i/>
          <w:iCs/>
          <w:sz w:val="20"/>
          <w:szCs w:val="20"/>
        </w:rPr>
        <w:t> </w:t>
      </w:r>
      <w:r w:rsidR="006F5157" w:rsidRPr="009A1387">
        <w:rPr>
          <w:rFonts w:cstheme="minorHAnsi"/>
          <w:i/>
          <w:iCs/>
          <w:sz w:val="20"/>
          <w:szCs w:val="20"/>
        </w:rPr>
        <w:t>;</w:t>
      </w:r>
    </w:p>
    <w:p w14:paraId="7329299D" w14:textId="179B824D"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de certification/assurance des procédés et produits</w:t>
      </w:r>
      <w:r w:rsidR="00496A03" w:rsidRPr="009A1387">
        <w:rPr>
          <w:rFonts w:cstheme="minorHAnsi"/>
          <w:i/>
          <w:iCs/>
          <w:sz w:val="20"/>
          <w:szCs w:val="20"/>
        </w:rPr>
        <w:t> </w:t>
      </w:r>
      <w:r w:rsidR="006F5157" w:rsidRPr="009A1387">
        <w:rPr>
          <w:rFonts w:cstheme="minorHAnsi"/>
          <w:i/>
          <w:iCs/>
          <w:sz w:val="20"/>
          <w:szCs w:val="20"/>
        </w:rPr>
        <w:t>;</w:t>
      </w:r>
    </w:p>
    <w:p w14:paraId="0631D599" w14:textId="64D068A2"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la minimisation des données</w:t>
      </w:r>
      <w:r w:rsidR="00496A03" w:rsidRPr="009A1387">
        <w:rPr>
          <w:rFonts w:cstheme="minorHAnsi"/>
          <w:i/>
          <w:iCs/>
          <w:sz w:val="20"/>
          <w:szCs w:val="20"/>
        </w:rPr>
        <w:t> </w:t>
      </w:r>
      <w:r w:rsidR="006F5157" w:rsidRPr="009A1387">
        <w:rPr>
          <w:rFonts w:cstheme="minorHAnsi"/>
          <w:i/>
          <w:iCs/>
          <w:sz w:val="20"/>
          <w:szCs w:val="20"/>
        </w:rPr>
        <w:t>;</w:t>
      </w:r>
    </w:p>
    <w:p w14:paraId="225C6190" w14:textId="1A097ABB"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la qualité des données</w:t>
      </w:r>
      <w:r w:rsidR="00496A03" w:rsidRPr="009A1387">
        <w:rPr>
          <w:rFonts w:cstheme="minorHAnsi"/>
          <w:i/>
          <w:iCs/>
          <w:sz w:val="20"/>
          <w:szCs w:val="20"/>
        </w:rPr>
        <w:t> </w:t>
      </w:r>
      <w:r w:rsidR="006F5157" w:rsidRPr="009A1387">
        <w:rPr>
          <w:rFonts w:cstheme="minorHAnsi"/>
          <w:i/>
          <w:iCs/>
          <w:sz w:val="20"/>
          <w:szCs w:val="20"/>
        </w:rPr>
        <w:t>;</w:t>
      </w:r>
    </w:p>
    <w:p w14:paraId="700F7F2D" w14:textId="7B2B4973"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une conservation limitée des données</w:t>
      </w:r>
      <w:r w:rsidR="00496A03" w:rsidRPr="009A1387">
        <w:rPr>
          <w:rFonts w:cstheme="minorHAnsi"/>
          <w:i/>
          <w:iCs/>
          <w:sz w:val="20"/>
          <w:szCs w:val="20"/>
        </w:rPr>
        <w:t> </w:t>
      </w:r>
      <w:r w:rsidR="006F5157" w:rsidRPr="009A1387">
        <w:rPr>
          <w:rFonts w:cstheme="minorHAnsi"/>
          <w:i/>
          <w:iCs/>
          <w:sz w:val="20"/>
          <w:szCs w:val="20"/>
        </w:rPr>
        <w:t>;</w:t>
      </w:r>
    </w:p>
    <w:p w14:paraId="7D421662" w14:textId="13F0A200" w:rsidR="006F5157" w:rsidRPr="009A1387" w:rsidRDefault="005D089A" w:rsidP="00D92205">
      <w:pPr>
        <w:pStyle w:val="Paragraphedeliste"/>
        <w:numPr>
          <w:ilvl w:val="0"/>
          <w:numId w:val="19"/>
        </w:numPr>
        <w:spacing w:after="0" w:line="240" w:lineRule="exact"/>
        <w:jc w:val="both"/>
        <w:rPr>
          <w:rFonts w:cstheme="minorHAnsi"/>
          <w:i/>
          <w:iCs/>
          <w:sz w:val="20"/>
          <w:szCs w:val="20"/>
        </w:rPr>
      </w:pPr>
      <w:r>
        <w:rPr>
          <w:rFonts w:cstheme="minorHAnsi"/>
          <w:i/>
          <w:iCs/>
          <w:sz w:val="20"/>
          <w:szCs w:val="20"/>
        </w:rPr>
        <w:t>M</w:t>
      </w:r>
      <w:r w:rsidR="006F5157" w:rsidRPr="009A1387">
        <w:rPr>
          <w:rFonts w:cstheme="minorHAnsi"/>
          <w:i/>
          <w:iCs/>
          <w:sz w:val="20"/>
          <w:szCs w:val="20"/>
        </w:rPr>
        <w:t>esures visant à garantir la responsabilité</w:t>
      </w:r>
      <w:r w:rsidR="00496A03" w:rsidRPr="009A1387">
        <w:rPr>
          <w:rFonts w:cstheme="minorHAnsi"/>
          <w:i/>
          <w:iCs/>
          <w:sz w:val="20"/>
          <w:szCs w:val="20"/>
        </w:rPr>
        <w:t> </w:t>
      </w:r>
      <w:r w:rsidR="006F5157" w:rsidRPr="009A1387">
        <w:rPr>
          <w:rFonts w:cstheme="minorHAnsi"/>
          <w:i/>
          <w:iCs/>
          <w:sz w:val="20"/>
          <w:szCs w:val="20"/>
        </w:rPr>
        <w:t>;</w:t>
      </w:r>
    </w:p>
    <w:p w14:paraId="2C6C3E9E" w14:textId="20729EA4" w:rsidR="006F5157" w:rsidRPr="009A1387" w:rsidRDefault="005D089A" w:rsidP="00D92205">
      <w:pPr>
        <w:pStyle w:val="Paragraphedeliste"/>
        <w:numPr>
          <w:ilvl w:val="0"/>
          <w:numId w:val="19"/>
        </w:numPr>
        <w:spacing w:after="0" w:line="240" w:lineRule="exact"/>
        <w:jc w:val="both"/>
        <w:rPr>
          <w:rFonts w:cstheme="minorHAnsi"/>
          <w:i/>
          <w:iCs/>
          <w:sz w:val="20"/>
          <w:szCs w:val="20"/>
        </w:rPr>
      </w:pPr>
      <w:r w:rsidRPr="009A1387">
        <w:rPr>
          <w:rFonts w:cstheme="minorHAnsi"/>
          <w:i/>
          <w:iCs/>
          <w:sz w:val="20"/>
          <w:szCs w:val="20"/>
        </w:rPr>
        <w:t>Mesures</w:t>
      </w:r>
      <w:r w:rsidR="006F5157" w:rsidRPr="009A1387">
        <w:rPr>
          <w:rFonts w:cstheme="minorHAnsi"/>
          <w:i/>
          <w:iCs/>
          <w:sz w:val="20"/>
          <w:szCs w:val="20"/>
        </w:rPr>
        <w:t xml:space="preserve"> permettant la portabilité des données et garantissant l</w:t>
      </w:r>
      <w:r w:rsidR="00B335ED" w:rsidRPr="009A1387">
        <w:rPr>
          <w:rFonts w:cstheme="minorHAnsi"/>
          <w:i/>
          <w:iCs/>
          <w:sz w:val="20"/>
          <w:szCs w:val="20"/>
        </w:rPr>
        <w:t>’</w:t>
      </w:r>
      <w:r w:rsidR="006F5157" w:rsidRPr="009A1387">
        <w:rPr>
          <w:rFonts w:cstheme="minorHAnsi"/>
          <w:i/>
          <w:iCs/>
          <w:sz w:val="20"/>
          <w:szCs w:val="20"/>
        </w:rPr>
        <w:t>effacement</w:t>
      </w:r>
      <w:r w:rsidR="00496A03" w:rsidRPr="009A1387">
        <w:rPr>
          <w:rFonts w:cstheme="minorHAnsi"/>
          <w:i/>
          <w:iCs/>
          <w:sz w:val="20"/>
          <w:szCs w:val="20"/>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5"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5"/>
    </w:p>
    <w:p w14:paraId="32A4F004" w14:textId="05355B50" w:rsidR="006F5157" w:rsidRDefault="006F5157" w:rsidP="00D92205">
      <w:pPr>
        <w:spacing w:after="0" w:line="240" w:lineRule="exact"/>
        <w:jc w:val="both"/>
        <w:rPr>
          <w:rFonts w:cstheme="minorHAnsi"/>
        </w:rPr>
      </w:pPr>
    </w:p>
    <w:p w14:paraId="6AFCC7C7" w14:textId="760B2CD0" w:rsidR="00B1026F" w:rsidRPr="0097433C" w:rsidRDefault="00B1026F" w:rsidP="0097433C">
      <w:pPr>
        <w:spacing w:after="0"/>
        <w:jc w:val="both"/>
        <w:rPr>
          <w:rFonts w:cstheme="minorHAnsi"/>
          <w:bCs/>
          <w:sz w:val="20"/>
          <w:szCs w:val="20"/>
        </w:rPr>
      </w:pPr>
      <w:r w:rsidRPr="005D089A">
        <w:rPr>
          <w:rFonts w:cstheme="minorHAnsi"/>
        </w:rPr>
        <w:t>OPTION 1</w:t>
      </w:r>
      <w:r w:rsidR="0097433C">
        <w:rPr>
          <w:rFonts w:cstheme="minorHAnsi"/>
        </w:rPr>
        <w:t xml:space="preserve"> </w:t>
      </w:r>
      <w:r w:rsidR="0097433C" w:rsidRPr="00523069">
        <w:rPr>
          <w:rFonts w:cstheme="minorHAnsi"/>
          <w:b/>
          <w:bCs/>
          <w:sz w:val="20"/>
          <w:szCs w:val="20"/>
          <w:highlight w:val="yellow"/>
        </w:rPr>
        <w:t>[</w:t>
      </w:r>
      <w:r w:rsidR="0097433C">
        <w:rPr>
          <w:rFonts w:cstheme="minorHAnsi"/>
          <w:b/>
          <w:bCs/>
          <w:sz w:val="20"/>
          <w:szCs w:val="20"/>
          <w:highlight w:val="yellow"/>
        </w:rPr>
        <w:t xml:space="preserve">option retenue - </w:t>
      </w:r>
      <w:r w:rsidR="0097433C" w:rsidRPr="00523069">
        <w:rPr>
          <w:rFonts w:cstheme="minorHAnsi"/>
          <w:b/>
          <w:bCs/>
          <w:sz w:val="20"/>
          <w:szCs w:val="20"/>
          <w:highlight w:val="yellow"/>
        </w:rPr>
        <w:t xml:space="preserve">à compléter </w:t>
      </w:r>
      <w:r w:rsidR="0097433C">
        <w:rPr>
          <w:rFonts w:cstheme="minorHAnsi"/>
          <w:b/>
          <w:bCs/>
          <w:sz w:val="20"/>
          <w:szCs w:val="20"/>
          <w:highlight w:val="yellow"/>
        </w:rPr>
        <w:t>à l’issue de la consultation</w:t>
      </w:r>
      <w:r w:rsidR="0097433C" w:rsidRPr="00523069">
        <w:rPr>
          <w:rFonts w:cstheme="minorHAnsi"/>
          <w:b/>
          <w:bCs/>
          <w:sz w:val="20"/>
          <w:szCs w:val="20"/>
          <w:highlight w:val="yellow"/>
        </w:rPr>
        <w:t>]</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4F895DB2">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2466BA1D" w:rsidR="00261B77" w:rsidRPr="00452029" w:rsidRDefault="441660E8" w:rsidP="4F895DB2">
            <w:pPr>
              <w:jc w:val="both"/>
              <w:cnfStyle w:val="100000000000" w:firstRow="1" w:lastRow="0" w:firstColumn="0" w:lastColumn="0" w:oddVBand="0" w:evenVBand="0" w:oddHBand="0" w:evenHBand="0" w:firstRowFirstColumn="0" w:firstRowLastColumn="0" w:lastRowFirstColumn="0" w:lastRowLastColumn="0"/>
              <w:rPr>
                <w:sz w:val="16"/>
                <w:szCs w:val="16"/>
              </w:rPr>
            </w:pPr>
            <w:r w:rsidRPr="4F895DB2">
              <w:rPr>
                <w:sz w:val="16"/>
                <w:szCs w:val="16"/>
              </w:rPr>
              <w:t xml:space="preserve">En cas de transfert </w:t>
            </w:r>
            <w:r w:rsidR="6666CFCD" w:rsidRPr="4F895DB2">
              <w:rPr>
                <w:sz w:val="16"/>
                <w:szCs w:val="16"/>
              </w:rPr>
              <w:t xml:space="preserve">de données </w:t>
            </w:r>
            <w:bookmarkStart w:id="36" w:name="_Int_PEY0AH70"/>
            <w:r w:rsidRPr="4F895DB2">
              <w:rPr>
                <w:sz w:val="16"/>
                <w:szCs w:val="16"/>
              </w:rPr>
              <w:t>hors</w:t>
            </w:r>
            <w:bookmarkEnd w:id="36"/>
            <w:r w:rsidRPr="4F895DB2">
              <w:rPr>
                <w:sz w:val="16"/>
                <w:szCs w:val="16"/>
              </w:rPr>
              <w:t xml:space="preserve"> EEE</w:t>
            </w:r>
            <w:r w:rsidR="737AA117" w:rsidRPr="4F895DB2">
              <w:rPr>
                <w:sz w:val="16"/>
                <w:szCs w:val="16"/>
              </w:rPr>
              <w:t xml:space="preserve"> par le </w:t>
            </w:r>
            <w:r w:rsidR="00DF317B" w:rsidRPr="4F895DB2">
              <w:rPr>
                <w:sz w:val="16"/>
                <w:szCs w:val="16"/>
              </w:rPr>
              <w:t>sous</w:t>
            </w:r>
            <w:r w:rsidR="737AA117" w:rsidRPr="4F895DB2">
              <w:rPr>
                <w:sz w:val="16"/>
                <w:szCs w:val="16"/>
              </w:rPr>
              <w:t>-traitant</w:t>
            </w:r>
            <w:r w:rsidR="6666CFCD" w:rsidRPr="4F895DB2">
              <w:rPr>
                <w:sz w:val="16"/>
                <w:szCs w:val="16"/>
              </w:rPr>
              <w:t xml:space="preserve"> : </w:t>
            </w:r>
            <w:r w:rsidRPr="4F895DB2">
              <w:rPr>
                <w:sz w:val="16"/>
                <w:szCs w:val="16"/>
              </w:rPr>
              <w:t xml:space="preserve">préciser l’outil d’encadrement des transferts </w:t>
            </w:r>
            <w:r w:rsidR="7E1FBD8A" w:rsidRPr="4F895DB2">
              <w:rPr>
                <w:sz w:val="16"/>
                <w:szCs w:val="16"/>
              </w:rPr>
              <w:t>utilisé, ￼</w:t>
            </w:r>
            <w:r w:rsidRPr="4F895DB2">
              <w:rPr>
                <w:sz w:val="16"/>
                <w:szCs w:val="16"/>
              </w:rPr>
              <w:t xml:space="preserve"> et la date de fin de validité </w:t>
            </w:r>
            <w:r w:rsidR="6666CFCD" w:rsidRPr="4F895DB2">
              <w:rPr>
                <w:sz w:val="16"/>
                <w:szCs w:val="16"/>
              </w:rPr>
              <w:t xml:space="preserve">si </w:t>
            </w:r>
            <w:r w:rsidR="21300D0E" w:rsidRPr="4F895DB2">
              <w:rPr>
                <w:sz w:val="16"/>
                <w:szCs w:val="16"/>
              </w:rPr>
              <w:t>applicable (</w:t>
            </w:r>
            <w:r w:rsidRPr="4F895DB2">
              <w:rPr>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4F895DB2">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Ex : SuperCloud</w:t>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4F895DB2">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Pr="0097433C" w:rsidRDefault="00B1026F" w:rsidP="00B1026F">
      <w:pPr>
        <w:spacing w:after="0" w:line="240" w:lineRule="exact"/>
        <w:jc w:val="both"/>
        <w:rPr>
          <w:rFonts w:cstheme="minorHAnsi"/>
        </w:rPr>
      </w:pPr>
      <w:r w:rsidRPr="0097433C">
        <w:rPr>
          <w:rFonts w:cstheme="minorHAnsi"/>
        </w:rPr>
        <w:t>OPTION 2</w:t>
      </w:r>
    </w:p>
    <w:p w14:paraId="325BEE2D" w14:textId="0C763173" w:rsidR="00AA0E66" w:rsidRPr="0097433C" w:rsidRDefault="00661DFC" w:rsidP="00D92205">
      <w:pPr>
        <w:spacing w:after="0" w:line="240" w:lineRule="exact"/>
        <w:jc w:val="both"/>
        <w:rPr>
          <w:rFonts w:cstheme="minorHAnsi"/>
          <w:sz w:val="20"/>
          <w:szCs w:val="20"/>
        </w:rPr>
      </w:pPr>
      <w:r w:rsidRPr="0097433C">
        <w:rPr>
          <w:rFonts w:cstheme="minorHAnsi"/>
          <w:i/>
          <w:iCs/>
          <w:sz w:val="20"/>
          <w:szCs w:val="20"/>
        </w:rPr>
        <w:t>En cas d’autorisation générale des sous-traitants ultérieurs</w:t>
      </w:r>
      <w:r w:rsidRPr="0097433C">
        <w:rPr>
          <w:rFonts w:cstheme="minorHAnsi"/>
          <w:sz w:val="20"/>
          <w:szCs w:val="20"/>
        </w:rPr>
        <w:t xml:space="preserve">, retenue en Clause 7.7 des CCT Article 28, la liste des sous-traitants ultérieurs du sous-traitant est </w:t>
      </w:r>
      <w:r w:rsidR="0029463B" w:rsidRPr="0097433C">
        <w:rPr>
          <w:rFonts w:cstheme="minorHAnsi"/>
          <w:sz w:val="20"/>
          <w:szCs w:val="20"/>
        </w:rPr>
        <w:t>accessible</w:t>
      </w:r>
      <w:r w:rsidRPr="0097433C">
        <w:rPr>
          <w:rFonts w:cstheme="minorHAnsi"/>
          <w:sz w:val="20"/>
          <w:szCs w:val="20"/>
        </w:rPr>
        <w:t xml:space="preserve"> : </w:t>
      </w:r>
    </w:p>
    <w:p w14:paraId="264F1844" w14:textId="273939CA" w:rsidR="00661DFC" w:rsidRPr="0097433C" w:rsidRDefault="00661DFC" w:rsidP="00D92205">
      <w:pPr>
        <w:spacing w:after="0" w:line="240" w:lineRule="exact"/>
        <w:jc w:val="both"/>
        <w:rPr>
          <w:rFonts w:cstheme="minorHAnsi"/>
          <w:i/>
          <w:iCs/>
          <w:sz w:val="20"/>
          <w:szCs w:val="20"/>
        </w:rPr>
      </w:pPr>
    </w:p>
    <w:p w14:paraId="13B0AFFA" w14:textId="187BA600" w:rsidR="0029463B" w:rsidRPr="0097433C" w:rsidRDefault="6A694CE9" w:rsidP="4F895DB2">
      <w:pPr>
        <w:pStyle w:val="Paragraphedeliste"/>
        <w:numPr>
          <w:ilvl w:val="0"/>
          <w:numId w:val="19"/>
        </w:numPr>
        <w:spacing w:after="0" w:line="240" w:lineRule="exact"/>
        <w:jc w:val="both"/>
        <w:rPr>
          <w:sz w:val="20"/>
          <w:szCs w:val="20"/>
        </w:rPr>
      </w:pPr>
      <w:r w:rsidRPr="4F895DB2">
        <w:rPr>
          <w:i/>
          <w:iCs/>
          <w:sz w:val="20"/>
          <w:szCs w:val="20"/>
        </w:rPr>
        <w:t>Via</w:t>
      </w:r>
      <w:r w:rsidR="00661DFC" w:rsidRPr="4F895DB2">
        <w:rPr>
          <w:sz w:val="20"/>
          <w:szCs w:val="20"/>
        </w:rPr>
        <w:t xml:space="preserve"> le lien url suivant : [insérer]</w:t>
      </w:r>
      <w:r w:rsidR="007D4E92" w:rsidRPr="4F895DB2">
        <w:rPr>
          <w:sz w:val="20"/>
          <w:szCs w:val="20"/>
        </w:rPr>
        <w:t xml:space="preserve">. </w:t>
      </w:r>
    </w:p>
    <w:p w14:paraId="366624C6" w14:textId="3A5EF479" w:rsidR="00661DFC" w:rsidRPr="0097433C" w:rsidRDefault="6A694CE9" w:rsidP="4F895DB2">
      <w:pPr>
        <w:pStyle w:val="Paragraphedeliste"/>
        <w:numPr>
          <w:ilvl w:val="0"/>
          <w:numId w:val="19"/>
        </w:numPr>
        <w:rPr>
          <w:sz w:val="20"/>
          <w:szCs w:val="20"/>
        </w:rPr>
      </w:pPr>
      <w:r w:rsidRPr="4F895DB2">
        <w:rPr>
          <w:sz w:val="20"/>
          <w:szCs w:val="20"/>
        </w:rPr>
        <w:t>À</w:t>
      </w:r>
      <w:r w:rsidR="0029463B" w:rsidRPr="4F895DB2">
        <w:rPr>
          <w:sz w:val="20"/>
          <w:szCs w:val="20"/>
        </w:rPr>
        <w:t xml:space="preserve"> </w:t>
      </w:r>
      <w:r w:rsidR="00367E60" w:rsidRPr="4F895DB2">
        <w:rPr>
          <w:sz w:val="20"/>
          <w:szCs w:val="20"/>
        </w:rPr>
        <w:t>défaut d’une liste accessible en ligne : [préciser la procédure pour accéder à la dernière version en date]</w:t>
      </w:r>
      <w:r w:rsidR="0029463B" w:rsidRPr="4F895DB2">
        <w:rPr>
          <w:sz w:val="20"/>
          <w:szCs w:val="20"/>
        </w:rPr>
        <w:t xml:space="preserve">. </w:t>
      </w:r>
    </w:p>
    <w:p w14:paraId="71023121" w14:textId="22FC4D3C" w:rsidR="00FC4FE5" w:rsidRPr="0097433C" w:rsidRDefault="00C80862" w:rsidP="00D92205">
      <w:pPr>
        <w:spacing w:after="0" w:line="240" w:lineRule="exact"/>
        <w:jc w:val="both"/>
        <w:rPr>
          <w:rFonts w:cstheme="minorHAnsi"/>
          <w:bCs/>
          <w:i/>
          <w:iCs/>
          <w:sz w:val="20"/>
          <w:szCs w:val="20"/>
        </w:rPr>
      </w:pPr>
      <w:r w:rsidRPr="0097433C">
        <w:rPr>
          <w:rFonts w:cstheme="minorHAnsi"/>
          <w:sz w:val="20"/>
          <w:szCs w:val="20"/>
        </w:rPr>
        <w:t xml:space="preserve">Le sous-traitant s’engage à </w:t>
      </w:r>
      <w:r w:rsidR="000043E4" w:rsidRPr="0097433C">
        <w:rPr>
          <w:rFonts w:cstheme="minorHAnsi"/>
          <w:sz w:val="20"/>
          <w:szCs w:val="20"/>
        </w:rPr>
        <w:t xml:space="preserve">ce que </w:t>
      </w:r>
      <w:r w:rsidRPr="0097433C">
        <w:rPr>
          <w:rFonts w:cstheme="minorHAnsi"/>
          <w:sz w:val="20"/>
          <w:szCs w:val="20"/>
        </w:rPr>
        <w:t>la liste des sous-traitants</w:t>
      </w:r>
      <w:r w:rsidR="000043E4" w:rsidRPr="0097433C">
        <w:rPr>
          <w:rFonts w:cstheme="minorHAnsi"/>
          <w:sz w:val="20"/>
          <w:szCs w:val="20"/>
        </w:rPr>
        <w:t xml:space="preserve"> ultérieurs soit en permanence à jour</w:t>
      </w:r>
      <w:r w:rsidRPr="0097433C">
        <w:rPr>
          <w:rFonts w:cstheme="minorHAnsi"/>
          <w:sz w:val="20"/>
          <w:szCs w:val="20"/>
        </w:rPr>
        <w:t>.</w:t>
      </w:r>
    </w:p>
    <w:p w14:paraId="60AA6731" w14:textId="77777777" w:rsidR="001C7177" w:rsidRPr="0097433C" w:rsidRDefault="001C7177" w:rsidP="00D92205">
      <w:pPr>
        <w:spacing w:after="0" w:line="240" w:lineRule="exact"/>
        <w:jc w:val="both"/>
        <w:rPr>
          <w:rFonts w:eastAsiaTheme="majorEastAsia" w:cstheme="minorHAnsi"/>
          <w:color w:val="2F5496" w:themeColor="accent1" w:themeShade="BF"/>
        </w:rPr>
      </w:pPr>
      <w:r w:rsidRPr="0097433C">
        <w:rPr>
          <w:rFonts w:cstheme="minorHAnsi"/>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7"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7"/>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A571FE2" w:rsidR="00AC31E8" w:rsidRPr="00FB6475" w:rsidRDefault="008F937E" w:rsidP="4F895DB2">
      <w:pPr>
        <w:pStyle w:val="Paragraphedeliste"/>
        <w:numPr>
          <w:ilvl w:val="0"/>
          <w:numId w:val="76"/>
        </w:numPr>
        <w:tabs>
          <w:tab w:val="left" w:pos="426"/>
        </w:tabs>
        <w:spacing w:after="0" w:line="240" w:lineRule="exact"/>
        <w:jc w:val="both"/>
        <w:rPr>
          <w:sz w:val="20"/>
          <w:szCs w:val="20"/>
        </w:rPr>
      </w:pPr>
      <w:r w:rsidRPr="4F895DB2">
        <w:rPr>
          <w:sz w:val="20"/>
          <w:szCs w:val="20"/>
        </w:rPr>
        <w:t>Des</w:t>
      </w:r>
      <w:r w:rsidR="00601245" w:rsidRPr="4F895DB2">
        <w:rPr>
          <w:sz w:val="20"/>
          <w:szCs w:val="20"/>
        </w:rPr>
        <w:t xml:space="preserve"> lieux de traitement et/ou de stockage des données à caractère personnel ;</w:t>
      </w:r>
    </w:p>
    <w:p w14:paraId="1AF16F3E" w14:textId="186741F2" w:rsidR="00AC31E8" w:rsidRPr="00FB6475" w:rsidRDefault="2CEDED55" w:rsidP="4F895DB2">
      <w:pPr>
        <w:pStyle w:val="Paragraphedeliste"/>
        <w:numPr>
          <w:ilvl w:val="0"/>
          <w:numId w:val="76"/>
        </w:numPr>
        <w:tabs>
          <w:tab w:val="left" w:pos="426"/>
        </w:tabs>
        <w:spacing w:after="0" w:line="240" w:lineRule="exact"/>
        <w:jc w:val="both"/>
        <w:rPr>
          <w:sz w:val="20"/>
          <w:szCs w:val="20"/>
        </w:rPr>
      </w:pPr>
      <w:r w:rsidRPr="4F895DB2">
        <w:rPr>
          <w:sz w:val="20"/>
          <w:szCs w:val="20"/>
        </w:rPr>
        <w:t>Des</w:t>
      </w:r>
      <w:r w:rsidR="00601245" w:rsidRPr="4F895DB2">
        <w:rPr>
          <w:sz w:val="20"/>
          <w:szCs w:val="20"/>
        </w:rPr>
        <w:t xml:space="preserve"> transferts de données à caractère personnel vers des pays tiers </w:t>
      </w:r>
      <w:r w:rsidR="000410A3" w:rsidRPr="4F895DB2">
        <w:rPr>
          <w:sz w:val="20"/>
          <w:szCs w:val="20"/>
        </w:rPr>
        <w:t>à l’EEE</w:t>
      </w:r>
      <w:r w:rsidR="00601245" w:rsidRPr="4F895DB2">
        <w:rPr>
          <w:sz w:val="20"/>
          <w:szCs w:val="20"/>
        </w:rPr>
        <w:t> ;</w:t>
      </w:r>
    </w:p>
    <w:p w14:paraId="44F10A89" w14:textId="1489CBF1" w:rsidR="00AC31E8" w:rsidRPr="00FB6475" w:rsidRDefault="2CEDED55" w:rsidP="4F895DB2">
      <w:pPr>
        <w:pStyle w:val="Paragraphedeliste"/>
        <w:numPr>
          <w:ilvl w:val="0"/>
          <w:numId w:val="76"/>
        </w:numPr>
        <w:tabs>
          <w:tab w:val="left" w:pos="426"/>
        </w:tabs>
        <w:spacing w:after="0" w:line="240" w:lineRule="exact"/>
        <w:jc w:val="both"/>
        <w:rPr>
          <w:sz w:val="20"/>
          <w:szCs w:val="20"/>
        </w:rPr>
      </w:pPr>
      <w:r w:rsidRPr="4F895DB2">
        <w:rPr>
          <w:sz w:val="20"/>
          <w:szCs w:val="20"/>
        </w:rPr>
        <w:t>Des</w:t>
      </w:r>
      <w:r w:rsidR="00601245" w:rsidRPr="4F895DB2">
        <w:rPr>
          <w:sz w:val="20"/>
          <w:szCs w:val="20"/>
        </w:rPr>
        <w:t xml:space="preserve"> mesures prises afin d’assurer la sécurité des données à </w:t>
      </w:r>
      <w:r w:rsidR="007E7794" w:rsidRPr="4F895DB2">
        <w:rPr>
          <w:sz w:val="20"/>
          <w:szCs w:val="20"/>
        </w:rPr>
        <w:t>caractère</w:t>
      </w:r>
      <w:r w:rsidR="00601245" w:rsidRPr="4F895DB2">
        <w:rPr>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6D0F8364" w:rsidR="005C7545" w:rsidRPr="004C310E" w:rsidRDefault="5C86270B" w:rsidP="4F895DB2">
      <w:pPr>
        <w:pStyle w:val="Paragraphedeliste"/>
        <w:numPr>
          <w:ilvl w:val="0"/>
          <w:numId w:val="94"/>
        </w:numPr>
        <w:spacing w:after="0" w:line="240" w:lineRule="exact"/>
        <w:jc w:val="both"/>
        <w:rPr>
          <w:rFonts w:eastAsia="Times New Roman"/>
          <w:color w:val="000000"/>
          <w:sz w:val="20"/>
          <w:szCs w:val="20"/>
        </w:rPr>
      </w:pPr>
      <w:r w:rsidRPr="4F895DB2">
        <w:rPr>
          <w:rFonts w:eastAsia="Times New Roman"/>
          <w:color w:val="000000" w:themeColor="text1"/>
          <w:sz w:val="20"/>
          <w:szCs w:val="20"/>
        </w:rPr>
        <w:t>L’identité</w:t>
      </w:r>
      <w:r w:rsidR="005C7545" w:rsidRPr="4F895DB2">
        <w:rPr>
          <w:rFonts w:eastAsia="Times New Roman"/>
          <w:color w:val="000000" w:themeColor="text1"/>
          <w:sz w:val="20"/>
          <w:szCs w:val="20"/>
        </w:rPr>
        <w:t xml:space="preserve"> et les coordonnées du sous-traitant ultérieur ;</w:t>
      </w:r>
    </w:p>
    <w:p w14:paraId="3480F4AB" w14:textId="51662E98" w:rsidR="005C7545" w:rsidRPr="004C310E" w:rsidRDefault="715D5038" w:rsidP="4F895DB2">
      <w:pPr>
        <w:pStyle w:val="Paragraphedeliste"/>
        <w:numPr>
          <w:ilvl w:val="0"/>
          <w:numId w:val="94"/>
        </w:numPr>
        <w:spacing w:after="0" w:line="240" w:lineRule="exact"/>
        <w:jc w:val="both"/>
        <w:rPr>
          <w:rFonts w:eastAsia="Times New Roman"/>
          <w:color w:val="000000"/>
          <w:sz w:val="20"/>
          <w:szCs w:val="20"/>
        </w:rPr>
      </w:pPr>
      <w:r w:rsidRPr="4F895DB2">
        <w:rPr>
          <w:rFonts w:eastAsia="Times New Roman"/>
          <w:color w:val="000000" w:themeColor="text1"/>
          <w:sz w:val="20"/>
          <w:szCs w:val="20"/>
        </w:rPr>
        <w:t>La</w:t>
      </w:r>
      <w:r w:rsidR="00885E42" w:rsidRPr="4F895DB2">
        <w:rPr>
          <w:rFonts w:eastAsia="Times New Roman"/>
          <w:color w:val="000000" w:themeColor="text1"/>
          <w:sz w:val="20"/>
          <w:szCs w:val="20"/>
        </w:rPr>
        <w:t xml:space="preserve"> référence du contrat ou du marché concerné</w:t>
      </w:r>
      <w:r w:rsidR="005C7545" w:rsidRPr="4F895DB2">
        <w:rPr>
          <w:rFonts w:eastAsia="Times New Roman"/>
          <w:color w:val="000000" w:themeColor="text1"/>
          <w:sz w:val="20"/>
          <w:szCs w:val="20"/>
        </w:rPr>
        <w:t> ;</w:t>
      </w:r>
    </w:p>
    <w:p w14:paraId="6CDCF8B4" w14:textId="18084DE5" w:rsidR="00D855E9" w:rsidRDefault="715D5038" w:rsidP="4F895DB2">
      <w:pPr>
        <w:pStyle w:val="Paragraphedeliste"/>
        <w:numPr>
          <w:ilvl w:val="0"/>
          <w:numId w:val="94"/>
        </w:numPr>
        <w:spacing w:after="0" w:line="240" w:lineRule="exact"/>
        <w:jc w:val="both"/>
        <w:rPr>
          <w:rFonts w:eastAsia="Times New Roman"/>
          <w:color w:val="000000"/>
          <w:sz w:val="20"/>
          <w:szCs w:val="20"/>
        </w:rPr>
      </w:pPr>
      <w:r w:rsidRPr="4F895DB2">
        <w:rPr>
          <w:rFonts w:eastAsia="Times New Roman"/>
          <w:color w:val="000000" w:themeColor="text1"/>
          <w:sz w:val="20"/>
          <w:szCs w:val="20"/>
        </w:rPr>
        <w:t>Les</w:t>
      </w:r>
      <w:r w:rsidR="00885E42" w:rsidRPr="4F895DB2">
        <w:rPr>
          <w:rFonts w:eastAsia="Times New Roman"/>
          <w:color w:val="000000" w:themeColor="text1"/>
          <w:sz w:val="20"/>
          <w:szCs w:val="20"/>
        </w:rPr>
        <w:t xml:space="preserve"> </w:t>
      </w:r>
      <w:r w:rsidR="00D855E9" w:rsidRPr="4F895DB2">
        <w:rPr>
          <w:rFonts w:eastAsia="Times New Roman"/>
          <w:color w:val="000000" w:themeColor="text1"/>
          <w:sz w:val="20"/>
          <w:szCs w:val="20"/>
        </w:rPr>
        <w:t>opérations de traitement de données envisagées ;</w:t>
      </w:r>
    </w:p>
    <w:p w14:paraId="1E603278" w14:textId="3BA1EBA9" w:rsidR="002B13FD" w:rsidRDefault="4B66DC85" w:rsidP="4F895DB2">
      <w:pPr>
        <w:pStyle w:val="Paragraphedeliste"/>
        <w:numPr>
          <w:ilvl w:val="0"/>
          <w:numId w:val="94"/>
        </w:numPr>
        <w:spacing w:after="0" w:line="240" w:lineRule="exact"/>
        <w:jc w:val="both"/>
        <w:rPr>
          <w:rFonts w:eastAsia="Times New Roman"/>
          <w:color w:val="000000"/>
          <w:sz w:val="20"/>
          <w:szCs w:val="20"/>
        </w:rPr>
      </w:pPr>
      <w:r w:rsidRPr="4F895DB2">
        <w:rPr>
          <w:rFonts w:eastAsia="Times New Roman"/>
          <w:color w:val="000000" w:themeColor="text1"/>
          <w:sz w:val="20"/>
          <w:szCs w:val="20"/>
        </w:rPr>
        <w:t>La</w:t>
      </w:r>
      <w:r w:rsidR="00885E42" w:rsidRPr="4F895DB2">
        <w:rPr>
          <w:rFonts w:eastAsia="Times New Roman"/>
          <w:color w:val="000000" w:themeColor="text1"/>
          <w:sz w:val="20"/>
          <w:szCs w:val="20"/>
        </w:rPr>
        <w:t xml:space="preserve"> localisation des traitements sous-traités</w:t>
      </w:r>
      <w:r w:rsidR="005C7545" w:rsidRPr="4F895DB2">
        <w:rPr>
          <w:rFonts w:eastAsia="Times New Roman"/>
          <w:color w:val="000000" w:themeColor="text1"/>
          <w:sz w:val="20"/>
          <w:szCs w:val="20"/>
        </w:rPr>
        <w:t> ;</w:t>
      </w:r>
    </w:p>
    <w:p w14:paraId="6826880E" w14:textId="5326A982" w:rsidR="002B13FD" w:rsidRDefault="4B66DC85" w:rsidP="4F895DB2">
      <w:pPr>
        <w:pStyle w:val="Paragraphedeliste"/>
        <w:numPr>
          <w:ilvl w:val="0"/>
          <w:numId w:val="94"/>
        </w:numPr>
        <w:spacing w:after="0" w:line="240" w:lineRule="exact"/>
        <w:jc w:val="both"/>
        <w:rPr>
          <w:rFonts w:eastAsia="Times New Roman"/>
          <w:color w:val="000000"/>
          <w:sz w:val="20"/>
          <w:szCs w:val="20"/>
        </w:rPr>
      </w:pPr>
      <w:r w:rsidRPr="4F895DB2">
        <w:rPr>
          <w:rFonts w:eastAsia="Times New Roman"/>
          <w:color w:val="000000" w:themeColor="text1"/>
          <w:sz w:val="20"/>
          <w:szCs w:val="20"/>
        </w:rPr>
        <w:t>La</w:t>
      </w:r>
      <w:r w:rsidR="00885E42" w:rsidRPr="4F895DB2">
        <w:rPr>
          <w:rFonts w:eastAsia="Times New Roman"/>
          <w:color w:val="000000" w:themeColor="text1"/>
          <w:sz w:val="20"/>
          <w:szCs w:val="20"/>
        </w:rPr>
        <w:t xml:space="preserve"> date d</w:t>
      </w:r>
      <w:r w:rsidR="005C7545" w:rsidRPr="4F895DB2">
        <w:rPr>
          <w:rFonts w:eastAsia="Times New Roman"/>
          <w:color w:val="000000" w:themeColor="text1"/>
          <w:sz w:val="20"/>
          <w:szCs w:val="20"/>
        </w:rPr>
        <w:t>e prise d’effet souhaitée du</w:t>
      </w:r>
      <w:r w:rsidR="00885E42" w:rsidRPr="4F895DB2">
        <w:rPr>
          <w:rFonts w:eastAsia="Times New Roman"/>
          <w:color w:val="000000" w:themeColor="text1"/>
          <w:sz w:val="20"/>
          <w:szCs w:val="20"/>
        </w:rPr>
        <w:t xml:space="preserve"> contrat de sous-traitance</w:t>
      </w:r>
      <w:r w:rsidR="005C7545" w:rsidRPr="4F895DB2">
        <w:rPr>
          <w:rFonts w:eastAsia="Times New Roman"/>
          <w:color w:val="000000" w:themeColor="text1"/>
          <w:sz w:val="20"/>
          <w:szCs w:val="20"/>
        </w:rPr>
        <w:t> ;</w:t>
      </w:r>
    </w:p>
    <w:p w14:paraId="16E33EF4" w14:textId="3A446E78" w:rsidR="0005677F" w:rsidRPr="00D92205" w:rsidRDefault="1CE92A6F" w:rsidP="4F895DB2">
      <w:pPr>
        <w:pStyle w:val="Paragraphedeliste"/>
        <w:numPr>
          <w:ilvl w:val="0"/>
          <w:numId w:val="94"/>
        </w:numPr>
        <w:spacing w:after="0" w:line="240" w:lineRule="exact"/>
        <w:jc w:val="both"/>
        <w:rPr>
          <w:rFonts w:eastAsia="Times New Roman"/>
          <w:color w:val="000000"/>
          <w:sz w:val="20"/>
          <w:szCs w:val="20"/>
        </w:rPr>
      </w:pPr>
      <w:r w:rsidRPr="4F895DB2">
        <w:rPr>
          <w:rFonts w:eastAsia="Times New Roman"/>
          <w:color w:val="000000" w:themeColor="text1"/>
          <w:sz w:val="20"/>
          <w:szCs w:val="20"/>
        </w:rPr>
        <w:t>En</w:t>
      </w:r>
      <w:r w:rsidR="00D855E9" w:rsidRPr="4F895DB2">
        <w:rPr>
          <w:rFonts w:eastAsia="Times New Roman"/>
          <w:color w:val="000000" w:themeColor="text1"/>
          <w:sz w:val="20"/>
          <w:szCs w:val="20"/>
        </w:rPr>
        <w:t xml:space="preserve"> cas de transfert </w:t>
      </w:r>
      <w:r w:rsidR="00802340" w:rsidRPr="4F895DB2">
        <w:rPr>
          <w:rFonts w:eastAsia="Times New Roman"/>
          <w:color w:val="000000" w:themeColor="text1"/>
          <w:sz w:val="20"/>
          <w:szCs w:val="20"/>
        </w:rPr>
        <w:t>vers un pays hors de l’EEE dont le niveau n’est pas reconnu comme adéquat par la Commission européenne</w:t>
      </w:r>
      <w:r w:rsidR="005C7545" w:rsidRPr="4F895DB2">
        <w:rPr>
          <w:rFonts w:eastAsia="Times New Roman"/>
          <w:color w:val="000000" w:themeColor="text1"/>
          <w:sz w:val="20"/>
          <w:szCs w:val="20"/>
        </w:rPr>
        <w:t>,</w:t>
      </w:r>
      <w:r w:rsidR="00BA546A" w:rsidRPr="4F895DB2">
        <w:rPr>
          <w:rFonts w:eastAsia="Times New Roman"/>
          <w:color w:val="000000" w:themeColor="text1"/>
          <w:sz w:val="20"/>
          <w:szCs w:val="20"/>
        </w:rPr>
        <w:t xml:space="preserve"> l’outil de transfert utilisé ainsi que les mesures supplémentaires </w:t>
      </w:r>
      <w:r w:rsidR="00C83439" w:rsidRPr="4F895DB2">
        <w:rPr>
          <w:rFonts w:eastAsia="Times New Roman"/>
          <w:color w:val="000000" w:themeColor="text1"/>
          <w:sz w:val="20"/>
          <w:szCs w:val="20"/>
        </w:rPr>
        <w:t xml:space="preserve">mises en œuvre </w:t>
      </w:r>
      <w:r w:rsidR="00767B11" w:rsidRPr="4F895DB2">
        <w:rPr>
          <w:rFonts w:eastAsia="Times New Roman"/>
          <w:color w:val="000000" w:themeColor="text1"/>
          <w:sz w:val="20"/>
          <w:szCs w:val="20"/>
        </w:rPr>
        <w:t xml:space="preserve">au titre de l’article 46 </w:t>
      </w:r>
      <w:r w:rsidR="007B5F6F" w:rsidRPr="4F895DB2">
        <w:rPr>
          <w:rFonts w:eastAsia="Times New Roman"/>
          <w:color w:val="000000" w:themeColor="text1"/>
          <w:sz w:val="20"/>
          <w:szCs w:val="20"/>
        </w:rPr>
        <w:t xml:space="preserve">du </w:t>
      </w:r>
      <w:r w:rsidR="00767B11" w:rsidRPr="4F895DB2">
        <w:rPr>
          <w:rFonts w:eastAsia="Times New Roman"/>
          <w:color w:val="000000" w:themeColor="text1"/>
          <w:sz w:val="20"/>
          <w:szCs w:val="20"/>
        </w:rPr>
        <w:t>RGPD</w:t>
      </w:r>
      <w:r w:rsidR="00BA546A" w:rsidRPr="4F895DB2">
        <w:rPr>
          <w:rFonts w:eastAsia="Times New Roman"/>
          <w:color w:val="000000" w:themeColor="text1"/>
          <w:sz w:val="20"/>
          <w:szCs w:val="20"/>
        </w:rPr>
        <w:t>.</w:t>
      </w:r>
      <w:r w:rsidR="00885E42" w:rsidRPr="4F895DB2">
        <w:rPr>
          <w:rFonts w:eastAsia="Times New Roman"/>
          <w:color w:val="000000" w:themeColor="text1"/>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4F895DB2">
        <w:rPr>
          <w:sz w:val="20"/>
          <w:szCs w:val="20"/>
        </w:rPr>
        <w:t xml:space="preserve">à mettre en place les </w:t>
      </w:r>
      <w:r w:rsidR="00ED1D7B" w:rsidRPr="4F895DB2">
        <w:rPr>
          <w:sz w:val="20"/>
          <w:szCs w:val="20"/>
        </w:rPr>
        <w:t>CCT Transferts - module 3</w:t>
      </w:r>
      <w:r w:rsidRPr="4F895DB2">
        <w:rPr>
          <w:sz w:val="20"/>
          <w:szCs w:val="20"/>
        </w:rPr>
        <w:t xml:space="preserve"> de la Commission européenne</w:t>
      </w:r>
      <w:r w:rsidR="00855C3E" w:rsidRPr="4F895DB2">
        <w:rPr>
          <w:rStyle w:val="Appelnotedebasdep"/>
          <w:sz w:val="20"/>
          <w:szCs w:val="20"/>
        </w:rPr>
        <w:footnoteReference w:id="5"/>
      </w:r>
      <w:r w:rsidRPr="4F895DB2">
        <w:rPr>
          <w:sz w:val="20"/>
          <w:szCs w:val="20"/>
        </w:rPr>
        <w:t xml:space="preserve"> avec chaque sous-traitant ultérieur concerné</w:t>
      </w:r>
      <w:r w:rsidR="00C0425E" w:rsidRPr="4F895DB2">
        <w:rPr>
          <w:sz w:val="20"/>
          <w:szCs w:val="20"/>
        </w:rPr>
        <w:t>,</w:t>
      </w:r>
      <w:r w:rsidRPr="4F895DB2">
        <w:rPr>
          <w:sz w:val="20"/>
          <w:szCs w:val="20"/>
        </w:rPr>
        <w:t xml:space="preserve"> si les transferts de données entre le </w:t>
      </w:r>
      <w:r w:rsidR="00ED1D7B" w:rsidRPr="4F895DB2">
        <w:rPr>
          <w:sz w:val="20"/>
          <w:szCs w:val="20"/>
        </w:rPr>
        <w:t>s</w:t>
      </w:r>
      <w:r w:rsidRPr="4F895DB2">
        <w:rPr>
          <w:sz w:val="20"/>
          <w:szCs w:val="20"/>
        </w:rPr>
        <w:t>ous-traitant et le(s) sous-traitant(s) ultérieur(s) ne sont pas couverts</w:t>
      </w:r>
      <w:r w:rsidR="00C0425E" w:rsidRPr="4F895DB2">
        <w:rPr>
          <w:sz w:val="20"/>
          <w:szCs w:val="20"/>
        </w:rPr>
        <w:t> </w:t>
      </w:r>
      <w:r w:rsidR="00ED1D7B" w:rsidRPr="4F895DB2">
        <w:rPr>
          <w:sz w:val="20"/>
          <w:szCs w:val="20"/>
        </w:rPr>
        <w:t>:</w:t>
      </w:r>
      <w:r w:rsidRPr="4F895DB2">
        <w:rPr>
          <w:sz w:val="20"/>
          <w:szCs w:val="20"/>
        </w:rPr>
        <w:t xml:space="preserve"> </w:t>
      </w:r>
      <w:r w:rsidR="00855C3E" w:rsidRPr="4F895DB2">
        <w:rPr>
          <w:sz w:val="20"/>
          <w:szCs w:val="20"/>
        </w:rPr>
        <w:t xml:space="preserve">(i) </w:t>
      </w:r>
      <w:r w:rsidRPr="4F895DB2">
        <w:rPr>
          <w:sz w:val="20"/>
          <w:szCs w:val="20"/>
        </w:rPr>
        <w:t>par une décision d’adéquation au sens de l’article 45 du RGPD (cf. la liste tenue à jour par la Cnil</w:t>
      </w:r>
      <w:r w:rsidR="0029463B" w:rsidRPr="4F895DB2">
        <w:rPr>
          <w:rStyle w:val="Appelnotedebasdep"/>
          <w:sz w:val="20"/>
          <w:szCs w:val="20"/>
        </w:rPr>
        <w:footnoteReference w:id="6"/>
      </w:r>
      <w:r w:rsidRPr="4F895DB2">
        <w:rPr>
          <w:sz w:val="20"/>
          <w:szCs w:val="20"/>
        </w:rPr>
        <w:t xml:space="preserve">), </w:t>
      </w:r>
      <w:r w:rsidR="00855C3E" w:rsidRPr="4F895DB2">
        <w:rPr>
          <w:sz w:val="20"/>
          <w:szCs w:val="20"/>
        </w:rPr>
        <w:t xml:space="preserve">(ii) </w:t>
      </w:r>
      <w:r w:rsidRPr="4F895DB2">
        <w:rPr>
          <w:sz w:val="20"/>
          <w:szCs w:val="20"/>
        </w:rPr>
        <w:t>ou pour le cas spécifique des Etats-Unis</w:t>
      </w:r>
      <w:r w:rsidR="00855C3E" w:rsidRPr="4F895DB2">
        <w:rPr>
          <w:sz w:val="20"/>
          <w:szCs w:val="20"/>
        </w:rPr>
        <w:t xml:space="preserve">, </w:t>
      </w:r>
      <w:r w:rsidRPr="4F895DB2">
        <w:rPr>
          <w:sz w:val="20"/>
          <w:szCs w:val="20"/>
        </w:rPr>
        <w:t xml:space="preserve">si le(s) sous-traitant(s) ultérieur(s) ne figure(nt) pas dans la </w:t>
      </w:r>
      <w:r w:rsidRPr="00D92205">
        <w:rPr>
          <w:sz w:val="20"/>
          <w:szCs w:val="20"/>
        </w:rPr>
        <w:t>liste des organismes certifiés</w:t>
      </w:r>
      <w:r w:rsidRPr="4F895DB2">
        <w:rPr>
          <w:sz w:val="20"/>
          <w:szCs w:val="20"/>
        </w:rPr>
        <w:t xml:space="preserve"> au titre du </w:t>
      </w:r>
      <w:r w:rsidR="000B513F" w:rsidRPr="4F895DB2">
        <w:rPr>
          <w:sz w:val="20"/>
          <w:szCs w:val="20"/>
        </w:rPr>
        <w:t>DPF</w:t>
      </w:r>
      <w:r w:rsidRPr="4F895DB2">
        <w:rPr>
          <w:sz w:val="20"/>
          <w:szCs w:val="20"/>
        </w:rPr>
        <w:t xml:space="preserve"> pour les traitements et/ou données concerné(e)s, (i</w:t>
      </w:r>
      <w:r w:rsidR="00855C3E" w:rsidRPr="4F895DB2">
        <w:rPr>
          <w:sz w:val="20"/>
          <w:szCs w:val="20"/>
        </w:rPr>
        <w:t>i</w:t>
      </w:r>
      <w:r w:rsidRPr="4F895DB2">
        <w:rPr>
          <w:sz w:val="20"/>
          <w:szCs w:val="20"/>
        </w:rPr>
        <w:t>i) par des règles d’entreprises contraignantes – « BCR » au sens de l’article 47 du RGPD</w:t>
      </w:r>
      <w:r w:rsidR="00855C3E" w:rsidRPr="4F895DB2">
        <w:rPr>
          <w:sz w:val="20"/>
          <w:szCs w:val="20"/>
        </w:rPr>
        <w:t xml:space="preserve"> </w:t>
      </w:r>
      <w:r w:rsidRPr="4F895DB2">
        <w:rPr>
          <w:sz w:val="20"/>
          <w:szCs w:val="20"/>
        </w:rPr>
        <w:t xml:space="preserve">en cas de transferts intragroupe, </w:t>
      </w:r>
      <w:r w:rsidR="00855C3E" w:rsidRPr="4F895DB2">
        <w:rPr>
          <w:sz w:val="20"/>
          <w:szCs w:val="20"/>
        </w:rPr>
        <w:t xml:space="preserve">ni </w:t>
      </w:r>
      <w:r w:rsidRPr="4F895DB2">
        <w:rPr>
          <w:sz w:val="20"/>
          <w:szCs w:val="20"/>
        </w:rPr>
        <w:t>(iii) par tout autre outil d’encadrement des transferts valable au sens de l’article 46 du RGP</w:t>
      </w:r>
      <w:r w:rsidR="00855C3E" w:rsidRPr="4F895DB2">
        <w:rPr>
          <w:sz w:val="20"/>
          <w:szCs w:val="20"/>
        </w:rPr>
        <w:t xml:space="preserve">D ; </w:t>
      </w:r>
    </w:p>
    <w:p w14:paraId="415C9C79" w14:textId="70BCBE0F" w:rsidR="00855C3E" w:rsidRPr="00855C3E" w:rsidRDefault="45A935CD"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Avant</w:t>
      </w:r>
      <w:r w:rsidR="00855C3E" w:rsidRPr="00855C3E">
        <w:rPr>
          <w:sz w:val="20"/>
          <w:szCs w:val="20"/>
        </w:rPr>
        <w:t xml:space="preserve"> tout transfert, à procéder à l’analyse du droit du pays </w:t>
      </w:r>
      <w:r w:rsidR="00ED1D7B">
        <w:rPr>
          <w:sz w:val="20"/>
          <w:szCs w:val="20"/>
        </w:rPr>
        <w:t>tiers</w:t>
      </w:r>
      <w:r w:rsidR="00C0425E">
        <w:rPr>
          <w:sz w:val="20"/>
          <w:szCs w:val="20"/>
        </w:rPr>
        <w:t xml:space="preserve"> vers lequel sont transférées les données</w:t>
      </w:r>
      <w:r w:rsidR="00855C3E"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00855C3E"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00855C3E" w:rsidRPr="00E34EF5">
        <w:rPr>
          <w:b/>
          <w:bCs/>
          <w:sz w:val="20"/>
          <w:szCs w:val="20"/>
        </w:rPr>
        <w:t>CEPD</w:t>
      </w:r>
      <w:r w:rsidR="7DF4E251" w:rsidRPr="00E34EF5">
        <w:rPr>
          <w:b/>
          <w:bCs/>
          <w:sz w:val="20"/>
          <w:szCs w:val="20"/>
        </w:rPr>
        <w:t> » ￼</w:t>
      </w:r>
      <w:r w:rsidR="00855C3E" w:rsidRPr="00855C3E">
        <w:rPr>
          <w:sz w:val="20"/>
          <w:szCs w:val="20"/>
        </w:rPr>
        <w:t>) ;</w:t>
      </w:r>
    </w:p>
    <w:p w14:paraId="2995E3EC" w14:textId="7F966576" w:rsidR="006B1E5B" w:rsidRDefault="583DE8A1"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Pour</w:t>
      </w:r>
      <w:r w:rsidR="00E30A7B" w:rsidRPr="00855C3E">
        <w:rPr>
          <w:sz w:val="20"/>
          <w:szCs w:val="20"/>
        </w:rPr>
        <w:t xml:space="preserve">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sidR="00855C3E">
        <w:rPr>
          <w:sz w:val="20"/>
          <w:szCs w:val="20"/>
        </w:rPr>
        <w:t xml:space="preserve"> au regard de la réglementation applicable </w:t>
      </w:r>
      <w:r w:rsidR="00855C3E"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sidR="00855C3E">
        <w:rPr>
          <w:sz w:val="20"/>
          <w:szCs w:val="20"/>
        </w:rPr>
        <w:t>respecter</w:t>
      </w:r>
      <w:r w:rsidR="005E5D61" w:rsidRPr="00855C3E">
        <w:rPr>
          <w:sz w:val="20"/>
          <w:szCs w:val="20"/>
        </w:rPr>
        <w:t xml:space="preserve"> les exigences </w:t>
      </w:r>
      <w:r w:rsidR="00855C3E">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7"/>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lastRenderedPageBreak/>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4F895DB2">
        <w:rPr>
          <w:sz w:val="20"/>
          <w:szCs w:val="20"/>
        </w:rPr>
        <w:t xml:space="preserve"> ayant adhéré au cadre légal du « </w:t>
      </w:r>
      <w:r w:rsidR="006C124B" w:rsidRPr="4F895DB2">
        <w:rPr>
          <w:i/>
          <w:iCs/>
          <w:sz w:val="20"/>
          <w:szCs w:val="20"/>
        </w:rPr>
        <w:t>Data Privacy Framework</w:t>
      </w:r>
      <w:r w:rsidR="00D97377" w:rsidRPr="4F895DB2">
        <w:rPr>
          <w:i/>
          <w:iCs/>
          <w:sz w:val="20"/>
          <w:szCs w:val="20"/>
        </w:rPr>
        <w:t> </w:t>
      </w:r>
      <w:r w:rsidR="006C124B" w:rsidRPr="4F895DB2">
        <w:rPr>
          <w:i/>
          <w:iCs/>
          <w:sz w:val="20"/>
          <w:szCs w:val="20"/>
        </w:rPr>
        <w:t>»</w:t>
      </w:r>
      <w:r w:rsidR="006C1988" w:rsidRPr="4F895DB2">
        <w:rPr>
          <w:rStyle w:val="Appelnotedebasdep"/>
          <w:i/>
          <w:iCs/>
          <w:sz w:val="20"/>
          <w:szCs w:val="20"/>
        </w:rPr>
        <w:t xml:space="preserve"> </w:t>
      </w:r>
      <w:r w:rsidR="000B513F" w:rsidRPr="4F895DB2">
        <w:rPr>
          <w:sz w:val="20"/>
          <w:szCs w:val="20"/>
        </w:rPr>
        <w:t>(DPF)</w:t>
      </w:r>
      <w:r w:rsidR="006C1988" w:rsidRPr="4F895DB2">
        <w:rPr>
          <w:rStyle w:val="Appelnotedebasdep"/>
          <w:sz w:val="20"/>
          <w:szCs w:val="20"/>
        </w:rPr>
        <w:footnoteReference w:id="8"/>
      </w:r>
      <w:r w:rsidR="006C124B" w:rsidRPr="4F895DB2">
        <w:rPr>
          <w:sz w:val="20"/>
          <w:szCs w:val="20"/>
        </w:rPr>
        <w:t>,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sidRPr="4F895DB2">
        <w:rPr>
          <w:sz w:val="20"/>
          <w:szCs w:val="20"/>
        </w:rPr>
        <w:t xml:space="preserve">maintien de </w:t>
      </w:r>
      <w:r w:rsidR="00D97377" w:rsidRPr="4F895DB2">
        <w:rPr>
          <w:sz w:val="20"/>
          <w:szCs w:val="20"/>
        </w:rPr>
        <w:t>la</w:t>
      </w:r>
      <w:r w:rsidR="006C124B" w:rsidRPr="4F895DB2">
        <w:rPr>
          <w:sz w:val="20"/>
          <w:szCs w:val="20"/>
        </w:rPr>
        <w:t xml:space="preserve"> certification</w:t>
      </w:r>
      <w:r w:rsidR="00D97377" w:rsidRPr="4F895DB2">
        <w:rPr>
          <w:sz w:val="20"/>
          <w:szCs w:val="20"/>
        </w:rPr>
        <w:t xml:space="preserve"> </w:t>
      </w:r>
      <w:r w:rsidR="006C124B" w:rsidRPr="4F895DB2">
        <w:rPr>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2A5D1F3D" w:rsidR="005B152F" w:rsidRPr="00FB6475" w:rsidRDefault="005B152F" w:rsidP="4F895DB2">
      <w:pPr>
        <w:pStyle w:val="ProductList-Body"/>
        <w:numPr>
          <w:ilvl w:val="0"/>
          <w:numId w:val="53"/>
        </w:numPr>
        <w:spacing w:line="240" w:lineRule="exact"/>
        <w:jc w:val="both"/>
        <w:rPr>
          <w:sz w:val="20"/>
          <w:szCs w:val="20"/>
        </w:rPr>
      </w:pPr>
      <w:r w:rsidRPr="4F895DB2">
        <w:rPr>
          <w:sz w:val="20"/>
          <w:szCs w:val="20"/>
        </w:rPr>
        <w:t xml:space="preserve">Les paragraphes </w:t>
      </w:r>
      <w:r w:rsidR="4F7D5E6C" w:rsidRPr="4F895DB2">
        <w:rPr>
          <w:sz w:val="20"/>
          <w:szCs w:val="20"/>
        </w:rPr>
        <w:t>ont</w:t>
      </w:r>
      <w:r w:rsidRPr="4F895DB2">
        <w:rPr>
          <w:sz w:val="20"/>
          <w:szCs w:val="20"/>
        </w:rPr>
        <w:t xml:space="preserve">) à c) </w:t>
      </w:r>
      <w:r w:rsidR="00DB32FC" w:rsidRPr="4F895DB2">
        <w:rPr>
          <w:sz w:val="20"/>
          <w:szCs w:val="20"/>
        </w:rPr>
        <w:t xml:space="preserve">du présent article </w:t>
      </w:r>
      <w:r w:rsidRPr="4F895DB2">
        <w:rPr>
          <w:sz w:val="20"/>
          <w:szCs w:val="20"/>
        </w:rPr>
        <w:t xml:space="preserve">sont sans préjudice de l’obligation </w:t>
      </w:r>
      <w:r w:rsidR="00DB32FC" w:rsidRPr="4F895DB2">
        <w:rPr>
          <w:sz w:val="20"/>
          <w:szCs w:val="20"/>
        </w:rPr>
        <w:t xml:space="preserve">pour le </w:t>
      </w:r>
      <w:r w:rsidR="00DF317B" w:rsidRPr="4F895DB2">
        <w:rPr>
          <w:sz w:val="20"/>
          <w:szCs w:val="20"/>
        </w:rPr>
        <w:t>sous</w:t>
      </w:r>
      <w:r w:rsidR="00DB32FC" w:rsidRPr="4F895DB2">
        <w:rPr>
          <w:sz w:val="20"/>
          <w:szCs w:val="20"/>
        </w:rPr>
        <w:t>-traitant</w:t>
      </w:r>
      <w:r w:rsidRPr="4F895DB2">
        <w:rPr>
          <w:sz w:val="20"/>
          <w:szCs w:val="20"/>
        </w:rPr>
        <w:t xml:space="preserve"> d’informer sans délai </w:t>
      </w:r>
      <w:r w:rsidR="00DB32FC" w:rsidRPr="4F895DB2">
        <w:rPr>
          <w:sz w:val="20"/>
          <w:szCs w:val="20"/>
        </w:rPr>
        <w:t xml:space="preserve">le </w:t>
      </w:r>
      <w:r w:rsidR="00DF317B" w:rsidRPr="4F895DB2">
        <w:rPr>
          <w:sz w:val="20"/>
          <w:szCs w:val="20"/>
        </w:rPr>
        <w:t>responsable</w:t>
      </w:r>
      <w:r w:rsidR="00DB32FC" w:rsidRPr="4F895DB2">
        <w:rPr>
          <w:sz w:val="20"/>
          <w:szCs w:val="20"/>
        </w:rPr>
        <w:t xml:space="preserve"> de traitement</w:t>
      </w:r>
      <w:r w:rsidRPr="4F895DB2">
        <w:rPr>
          <w:sz w:val="20"/>
          <w:szCs w:val="20"/>
        </w:rPr>
        <w:t xml:space="preserve"> s’il n’est pas en mesure de respecter </w:t>
      </w:r>
      <w:r w:rsidR="00FE2D09" w:rsidRPr="4F895DB2">
        <w:rPr>
          <w:sz w:val="20"/>
          <w:szCs w:val="20"/>
        </w:rPr>
        <w:t>les engagements pris aux termes de</w:t>
      </w:r>
      <w:r w:rsidR="00753E54" w:rsidRPr="4F895DB2">
        <w:rPr>
          <w:sz w:val="20"/>
          <w:szCs w:val="20"/>
        </w:rPr>
        <w:t xml:space="preserve"> </w:t>
      </w:r>
      <w:r w:rsidR="00FE2D09" w:rsidRPr="4F895DB2">
        <w:rPr>
          <w:sz w:val="20"/>
          <w:szCs w:val="20"/>
        </w:rPr>
        <w:t>l’</w:t>
      </w:r>
      <w:r w:rsidR="00753E54" w:rsidRPr="4F895DB2">
        <w:rPr>
          <w:sz w:val="20"/>
          <w:szCs w:val="20"/>
        </w:rPr>
        <w:t>Annexe RGPD</w:t>
      </w:r>
      <w:r w:rsidR="00DB32FC" w:rsidRPr="4F895DB2">
        <w:rPr>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2E42BA76" w:rsidR="004965B4" w:rsidRPr="00430898" w:rsidRDefault="009422E0" w:rsidP="4F895DB2">
      <w:pPr>
        <w:spacing w:after="0" w:line="240" w:lineRule="exact"/>
        <w:ind w:left="426" w:hanging="426"/>
        <w:jc w:val="both"/>
        <w:rPr>
          <w:sz w:val="20"/>
          <w:szCs w:val="20"/>
        </w:rPr>
      </w:pPr>
      <w:r w:rsidRPr="4F895DB2">
        <w:rPr>
          <w:sz w:val="20"/>
          <w:szCs w:val="20"/>
        </w:rPr>
        <w:t>8</w:t>
      </w:r>
      <w:r w:rsidR="00B601AA" w:rsidRPr="4F895DB2">
        <w:rPr>
          <w:sz w:val="20"/>
          <w:szCs w:val="20"/>
        </w:rPr>
        <w:t xml:space="preserve">.2. </w:t>
      </w:r>
      <w:r w:rsidR="003E7325" w:rsidRPr="4F895DB2">
        <w:rPr>
          <w:sz w:val="20"/>
          <w:szCs w:val="20"/>
        </w:rPr>
        <w:t xml:space="preserve">En cas de violation de données à caractère personnel en rapport avec des données traitées par le </w:t>
      </w:r>
      <w:r w:rsidR="009333E5" w:rsidRPr="4F895DB2">
        <w:rPr>
          <w:sz w:val="20"/>
          <w:szCs w:val="20"/>
        </w:rPr>
        <w:t>r</w:t>
      </w:r>
      <w:r w:rsidR="003E7325" w:rsidRPr="4F895DB2">
        <w:rPr>
          <w:sz w:val="20"/>
          <w:szCs w:val="20"/>
        </w:rPr>
        <w:t xml:space="preserve">esponsable du traitement, le </w:t>
      </w:r>
      <w:r w:rsidR="009333E5" w:rsidRPr="4F895DB2">
        <w:rPr>
          <w:sz w:val="20"/>
          <w:szCs w:val="20"/>
        </w:rPr>
        <w:t>s</w:t>
      </w:r>
      <w:r w:rsidR="003E7325" w:rsidRPr="4F895DB2">
        <w:rPr>
          <w:sz w:val="20"/>
          <w:szCs w:val="20"/>
        </w:rPr>
        <w:t xml:space="preserve">ous-traitant prête assistance au </w:t>
      </w:r>
      <w:r w:rsidR="009333E5" w:rsidRPr="4F895DB2">
        <w:rPr>
          <w:sz w:val="20"/>
          <w:szCs w:val="20"/>
        </w:rPr>
        <w:t>r</w:t>
      </w:r>
      <w:r w:rsidR="003E7325" w:rsidRPr="4F895DB2">
        <w:rPr>
          <w:sz w:val="20"/>
          <w:szCs w:val="20"/>
        </w:rPr>
        <w:t xml:space="preserve">esponsable du traitement aux fins de la notification de la violation de données à caractère personnel à </w:t>
      </w:r>
      <w:r w:rsidR="00B03B65" w:rsidRPr="4F895DB2">
        <w:rPr>
          <w:sz w:val="20"/>
          <w:szCs w:val="20"/>
        </w:rPr>
        <w:t xml:space="preserve">toute </w:t>
      </w:r>
      <w:r w:rsidR="003E7325" w:rsidRPr="4F895DB2">
        <w:rPr>
          <w:sz w:val="20"/>
          <w:szCs w:val="20"/>
        </w:rPr>
        <w:t xml:space="preserve">autorité de contrôle compétente, </w:t>
      </w:r>
      <w:r w:rsidR="00B03B65" w:rsidRPr="4F895DB2">
        <w:rPr>
          <w:sz w:val="20"/>
          <w:szCs w:val="20"/>
        </w:rPr>
        <w:t>dans un délai maximal de</w:t>
      </w:r>
      <w:r w:rsidR="004965B4" w:rsidRPr="4F895DB2">
        <w:rPr>
          <w:sz w:val="20"/>
          <w:szCs w:val="20"/>
        </w:rPr>
        <w:t xml:space="preserve"> </w:t>
      </w:r>
      <w:r w:rsidR="009333E5" w:rsidRPr="4F895DB2">
        <w:rPr>
          <w:sz w:val="20"/>
          <w:szCs w:val="20"/>
        </w:rPr>
        <w:t xml:space="preserve">vingt-quatre </w:t>
      </w:r>
      <w:r w:rsidR="00683FD7" w:rsidRPr="4F895DB2">
        <w:rPr>
          <w:sz w:val="20"/>
          <w:szCs w:val="20"/>
        </w:rPr>
        <w:t>(</w:t>
      </w:r>
      <w:r w:rsidR="004965B4" w:rsidRPr="4F895DB2">
        <w:rPr>
          <w:sz w:val="20"/>
          <w:szCs w:val="20"/>
        </w:rPr>
        <w:t>24</w:t>
      </w:r>
      <w:r w:rsidR="00683FD7" w:rsidRPr="4F895DB2">
        <w:rPr>
          <w:sz w:val="20"/>
          <w:szCs w:val="20"/>
        </w:rPr>
        <w:t>)</w:t>
      </w:r>
      <w:r w:rsidR="004965B4" w:rsidRPr="4F895DB2">
        <w:rPr>
          <w:sz w:val="20"/>
          <w:szCs w:val="20"/>
        </w:rPr>
        <w:t xml:space="preserve"> heures </w:t>
      </w:r>
      <w:r w:rsidR="003E7325" w:rsidRPr="4F895DB2">
        <w:rPr>
          <w:sz w:val="20"/>
          <w:szCs w:val="20"/>
        </w:rPr>
        <w:t xml:space="preserve">après que le </w:t>
      </w:r>
      <w:r w:rsidR="009333E5" w:rsidRPr="4F895DB2">
        <w:rPr>
          <w:sz w:val="20"/>
          <w:szCs w:val="20"/>
        </w:rPr>
        <w:t>r</w:t>
      </w:r>
      <w:r w:rsidR="003E7325" w:rsidRPr="4F895DB2">
        <w:rPr>
          <w:sz w:val="20"/>
          <w:szCs w:val="20"/>
        </w:rPr>
        <w:t xml:space="preserve">esponsable du traitement en </w:t>
      </w:r>
      <w:r w:rsidR="6AD06297" w:rsidRPr="4F895DB2">
        <w:rPr>
          <w:sz w:val="20"/>
          <w:szCs w:val="20"/>
        </w:rPr>
        <w:t>a</w:t>
      </w:r>
      <w:r w:rsidR="003E7325" w:rsidRPr="4F895DB2">
        <w:rPr>
          <w:sz w:val="20"/>
          <w:szCs w:val="20"/>
        </w:rPr>
        <w:t xml:space="preserve"> eu connaissance</w:t>
      </w:r>
      <w:r w:rsidR="007C457E" w:rsidRPr="4F895DB2">
        <w:rPr>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 w:author="Essaghir, Lamya" w:date="2025-05-28T13:45:00Z" w:initials="EL">
    <w:p w14:paraId="3AA19525" w14:textId="5E1AC45E" w:rsidR="00DB21AA" w:rsidRDefault="00DB21AA">
      <w:pPr>
        <w:pStyle w:val="Commentaire"/>
      </w:pPr>
      <w:r>
        <w:rPr>
          <w:rStyle w:val="Marquedecommentaire"/>
        </w:rPr>
        <w:annotationRef/>
      </w:r>
      <w:r w:rsidRPr="3B651022">
        <w:t xml:space="preserve">à attester par le métier après la contractualisation.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A195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0C79895" w16cex:dateUtc="2025-05-28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A19525" w16cid:durableId="10C798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CEE71" w14:textId="77777777" w:rsidR="00F242E6" w:rsidRDefault="00F242E6" w:rsidP="006F5157">
      <w:pPr>
        <w:spacing w:after="0" w:line="240" w:lineRule="auto"/>
      </w:pPr>
      <w:r>
        <w:separator/>
      </w:r>
    </w:p>
  </w:endnote>
  <w:endnote w:type="continuationSeparator" w:id="0">
    <w:p w14:paraId="316D061F" w14:textId="77777777" w:rsidR="00F242E6" w:rsidRDefault="00F242E6" w:rsidP="006F5157">
      <w:pPr>
        <w:spacing w:after="0" w:line="240" w:lineRule="auto"/>
      </w:pPr>
      <w:r>
        <w:continuationSeparator/>
      </w:r>
    </w:p>
  </w:endnote>
  <w:endnote w:type="continuationNotice" w:id="1">
    <w:p w14:paraId="4F47D060" w14:textId="77777777" w:rsidR="00F242E6" w:rsidRDefault="00F242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8240"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0CDB" w14:textId="77777777" w:rsidR="00F242E6" w:rsidRDefault="00F242E6" w:rsidP="006F5157">
      <w:pPr>
        <w:spacing w:after="0" w:line="240" w:lineRule="auto"/>
      </w:pPr>
      <w:r>
        <w:separator/>
      </w:r>
    </w:p>
  </w:footnote>
  <w:footnote w:type="continuationSeparator" w:id="0">
    <w:p w14:paraId="3D9B35C3" w14:textId="77777777" w:rsidR="00F242E6" w:rsidRDefault="00F242E6" w:rsidP="006F5157">
      <w:pPr>
        <w:spacing w:after="0" w:line="240" w:lineRule="auto"/>
      </w:pPr>
      <w:r>
        <w:continuationSeparator/>
      </w:r>
    </w:p>
  </w:footnote>
  <w:footnote w:type="continuationNotice" w:id="1">
    <w:p w14:paraId="39E4F731" w14:textId="77777777" w:rsidR="00F242E6" w:rsidRDefault="00F242E6">
      <w:pPr>
        <w:spacing w:after="0" w:line="240" w:lineRule="auto"/>
      </w:pPr>
    </w:p>
  </w:footnote>
  <w:footnote w:id="2">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3">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4">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3"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3"/>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4"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5"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6"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8">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7"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8"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intelligence2.xml><?xml version="1.0" encoding="utf-8"?>
<int2:intelligence xmlns:int2="http://schemas.microsoft.com/office/intelligence/2020/intelligence" xmlns:oel="http://schemas.microsoft.com/office/2019/extlst">
  <int2:observations>
    <int2:bookmark int2:bookmarkName="_Int_mh7XaSU8" int2:invalidationBookmarkName="" int2:hashCode="EsrHuXZaMQt1hR" int2:id="SDI9e0XG">
      <int2:state int2:value="Rejected" int2:type="AugLoop_Text_Critique"/>
    </int2:bookmark>
    <int2:bookmark int2:bookmarkName="_Int_7E3vEVc3" int2:invalidationBookmarkName="" int2:hashCode="ebDkZvOYxzGGb+" int2:id="m2xt8FN8">
      <int2:state int2:value="Rejected" int2:type="AugLoop_Text_Critique"/>
    </int2:bookmark>
    <int2:bookmark int2:bookmarkName="_Int_jlZEHFla" int2:invalidationBookmarkName="" int2:hashCode="hvfkN/qlp/zhXR" int2:id="pM3nsSX2">
      <int2:state int2:value="Rejected" int2:type="AugLoop_Text_Critique"/>
    </int2:bookmark>
    <int2:bookmark int2:bookmarkName="_Int_PEY0AH70" int2:invalidationBookmarkName="" int2:hashCode="ebDkZvOYxzGGb+" int2:id="ra9Kmp9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6F1"/>
    <w:multiLevelType w:val="hybridMultilevel"/>
    <w:tmpl w:val="23C007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2C3745"/>
    <w:multiLevelType w:val="hybridMultilevel"/>
    <w:tmpl w:val="427CE3B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F891DCC"/>
    <w:multiLevelType w:val="hybridMultilevel"/>
    <w:tmpl w:val="B25E771A"/>
    <w:lvl w:ilvl="0" w:tplc="8B7E0694">
      <w:start w:val="1"/>
      <w:numFmt w:val="bullet"/>
      <w:lvlText w:val=""/>
      <w:lvlJc w:val="left"/>
      <w:pPr>
        <w:ind w:left="1440" w:hanging="360"/>
      </w:pPr>
      <w:rPr>
        <w:rFonts w:ascii="Symbol" w:hAnsi="Symbol"/>
      </w:rPr>
    </w:lvl>
    <w:lvl w:ilvl="1" w:tplc="9426F15C">
      <w:start w:val="1"/>
      <w:numFmt w:val="bullet"/>
      <w:lvlText w:val=""/>
      <w:lvlJc w:val="left"/>
      <w:pPr>
        <w:ind w:left="1440" w:hanging="360"/>
      </w:pPr>
      <w:rPr>
        <w:rFonts w:ascii="Symbol" w:hAnsi="Symbol"/>
      </w:rPr>
    </w:lvl>
    <w:lvl w:ilvl="2" w:tplc="175C9C32">
      <w:start w:val="1"/>
      <w:numFmt w:val="bullet"/>
      <w:lvlText w:val=""/>
      <w:lvlJc w:val="left"/>
      <w:pPr>
        <w:ind w:left="1440" w:hanging="360"/>
      </w:pPr>
      <w:rPr>
        <w:rFonts w:ascii="Symbol" w:hAnsi="Symbol"/>
      </w:rPr>
    </w:lvl>
    <w:lvl w:ilvl="3" w:tplc="DAE050C8">
      <w:start w:val="1"/>
      <w:numFmt w:val="bullet"/>
      <w:lvlText w:val=""/>
      <w:lvlJc w:val="left"/>
      <w:pPr>
        <w:ind w:left="1440" w:hanging="360"/>
      </w:pPr>
      <w:rPr>
        <w:rFonts w:ascii="Symbol" w:hAnsi="Symbol"/>
      </w:rPr>
    </w:lvl>
    <w:lvl w:ilvl="4" w:tplc="65607014">
      <w:start w:val="1"/>
      <w:numFmt w:val="bullet"/>
      <w:lvlText w:val=""/>
      <w:lvlJc w:val="left"/>
      <w:pPr>
        <w:ind w:left="1440" w:hanging="360"/>
      </w:pPr>
      <w:rPr>
        <w:rFonts w:ascii="Symbol" w:hAnsi="Symbol"/>
      </w:rPr>
    </w:lvl>
    <w:lvl w:ilvl="5" w:tplc="519AD3BA">
      <w:start w:val="1"/>
      <w:numFmt w:val="bullet"/>
      <w:lvlText w:val=""/>
      <w:lvlJc w:val="left"/>
      <w:pPr>
        <w:ind w:left="1440" w:hanging="360"/>
      </w:pPr>
      <w:rPr>
        <w:rFonts w:ascii="Symbol" w:hAnsi="Symbol"/>
      </w:rPr>
    </w:lvl>
    <w:lvl w:ilvl="6" w:tplc="0B947C7C">
      <w:start w:val="1"/>
      <w:numFmt w:val="bullet"/>
      <w:lvlText w:val=""/>
      <w:lvlJc w:val="left"/>
      <w:pPr>
        <w:ind w:left="1440" w:hanging="360"/>
      </w:pPr>
      <w:rPr>
        <w:rFonts w:ascii="Symbol" w:hAnsi="Symbol"/>
      </w:rPr>
    </w:lvl>
    <w:lvl w:ilvl="7" w:tplc="35CE6E78">
      <w:start w:val="1"/>
      <w:numFmt w:val="bullet"/>
      <w:lvlText w:val=""/>
      <w:lvlJc w:val="left"/>
      <w:pPr>
        <w:ind w:left="1440" w:hanging="360"/>
      </w:pPr>
      <w:rPr>
        <w:rFonts w:ascii="Symbol" w:hAnsi="Symbol"/>
      </w:rPr>
    </w:lvl>
    <w:lvl w:ilvl="8" w:tplc="933A8360">
      <w:start w:val="1"/>
      <w:numFmt w:val="bullet"/>
      <w:lvlText w:val=""/>
      <w:lvlJc w:val="left"/>
      <w:pPr>
        <w:ind w:left="1440" w:hanging="360"/>
      </w:pPr>
      <w:rPr>
        <w:rFonts w:ascii="Symbol" w:hAnsi="Symbol"/>
      </w:rPr>
    </w:lvl>
  </w:abstractNum>
  <w:abstractNum w:abstractNumId="15" w15:restartNumberingAfterBreak="0">
    <w:nsid w:val="10147081"/>
    <w:multiLevelType w:val="hybridMultilevel"/>
    <w:tmpl w:val="165627FC"/>
    <w:lvl w:ilvl="0" w:tplc="E0CA53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0"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D67374"/>
    <w:multiLevelType w:val="multilevel"/>
    <w:tmpl w:val="04AA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22A557B7"/>
    <w:multiLevelType w:val="hybridMultilevel"/>
    <w:tmpl w:val="8466A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7"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9"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3E6C6998"/>
    <w:multiLevelType w:val="hybridMultilevel"/>
    <w:tmpl w:val="BECE9720"/>
    <w:lvl w:ilvl="0" w:tplc="AB26834E">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1"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6"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4"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6" w15:restartNumberingAfterBreak="0">
    <w:nsid w:val="63185BCD"/>
    <w:multiLevelType w:val="hybridMultilevel"/>
    <w:tmpl w:val="25241FF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2"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20D2FD8"/>
    <w:multiLevelType w:val="hybridMultilevel"/>
    <w:tmpl w:val="7D384A3C"/>
    <w:lvl w:ilvl="0" w:tplc="5FE4469E">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7"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9"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3"/>
  </w:num>
  <w:num w:numId="2" w16cid:durableId="23097890">
    <w:abstractNumId w:val="29"/>
  </w:num>
  <w:num w:numId="3" w16cid:durableId="240330134">
    <w:abstractNumId w:val="68"/>
  </w:num>
  <w:num w:numId="4" w16cid:durableId="100106119">
    <w:abstractNumId w:val="3"/>
  </w:num>
  <w:num w:numId="5" w16cid:durableId="66617201">
    <w:abstractNumId w:val="21"/>
  </w:num>
  <w:num w:numId="6" w16cid:durableId="368073430">
    <w:abstractNumId w:val="13"/>
  </w:num>
  <w:num w:numId="7" w16cid:durableId="40904703">
    <w:abstractNumId w:val="56"/>
  </w:num>
  <w:num w:numId="8" w16cid:durableId="130248672">
    <w:abstractNumId w:val="87"/>
  </w:num>
  <w:num w:numId="9" w16cid:durableId="293412950">
    <w:abstractNumId w:val="20"/>
  </w:num>
  <w:num w:numId="10" w16cid:durableId="2112161915">
    <w:abstractNumId w:val="33"/>
  </w:num>
  <w:num w:numId="11" w16cid:durableId="1955479934">
    <w:abstractNumId w:val="95"/>
  </w:num>
  <w:num w:numId="12" w16cid:durableId="1275401641">
    <w:abstractNumId w:val="40"/>
  </w:num>
  <w:num w:numId="13" w16cid:durableId="208297451">
    <w:abstractNumId w:val="12"/>
  </w:num>
  <w:num w:numId="14" w16cid:durableId="622618649">
    <w:abstractNumId w:val="67"/>
  </w:num>
  <w:num w:numId="15" w16cid:durableId="1243182369">
    <w:abstractNumId w:val="60"/>
  </w:num>
  <w:num w:numId="16" w16cid:durableId="1398625178">
    <w:abstractNumId w:val="1"/>
  </w:num>
  <w:num w:numId="17" w16cid:durableId="1873959320">
    <w:abstractNumId w:val="71"/>
  </w:num>
  <w:num w:numId="18" w16cid:durableId="1440296132">
    <w:abstractNumId w:val="41"/>
  </w:num>
  <w:num w:numId="19" w16cid:durableId="1241988562">
    <w:abstractNumId w:val="64"/>
  </w:num>
  <w:num w:numId="20" w16cid:durableId="696082934">
    <w:abstractNumId w:val="55"/>
  </w:num>
  <w:num w:numId="21" w16cid:durableId="761606446">
    <w:abstractNumId w:val="69"/>
  </w:num>
  <w:num w:numId="22" w16cid:durableId="1528592923">
    <w:abstractNumId w:val="103"/>
  </w:num>
  <w:num w:numId="23" w16cid:durableId="209732561">
    <w:abstractNumId w:val="7"/>
  </w:num>
  <w:num w:numId="24" w16cid:durableId="813760979">
    <w:abstractNumId w:val="75"/>
  </w:num>
  <w:num w:numId="25" w16cid:durableId="2132823762">
    <w:abstractNumId w:val="74"/>
  </w:num>
  <w:num w:numId="26" w16cid:durableId="1680542450">
    <w:abstractNumId w:val="62"/>
  </w:num>
  <w:num w:numId="27" w16cid:durableId="1018967415">
    <w:abstractNumId w:val="79"/>
  </w:num>
  <w:num w:numId="28" w16cid:durableId="1782340786">
    <w:abstractNumId w:val="45"/>
  </w:num>
  <w:num w:numId="29" w16cid:durableId="1958632599">
    <w:abstractNumId w:val="58"/>
  </w:num>
  <w:num w:numId="30" w16cid:durableId="1449545290">
    <w:abstractNumId w:val="53"/>
  </w:num>
  <w:num w:numId="31" w16cid:durableId="2055689273">
    <w:abstractNumId w:val="85"/>
  </w:num>
  <w:num w:numId="32" w16cid:durableId="1920291230">
    <w:abstractNumId w:val="108"/>
  </w:num>
  <w:num w:numId="33" w16cid:durableId="643779450">
    <w:abstractNumId w:val="22"/>
  </w:num>
  <w:num w:numId="34" w16cid:durableId="1776513234">
    <w:abstractNumId w:val="43"/>
  </w:num>
  <w:num w:numId="35" w16cid:durableId="1294870141">
    <w:abstractNumId w:val="47"/>
  </w:num>
  <w:num w:numId="36" w16cid:durableId="1015234180">
    <w:abstractNumId w:val="18"/>
  </w:num>
  <w:num w:numId="37" w16cid:durableId="55130114">
    <w:abstractNumId w:val="91"/>
  </w:num>
  <w:num w:numId="38" w16cid:durableId="1035883137">
    <w:abstractNumId w:val="48"/>
  </w:num>
  <w:num w:numId="39" w16cid:durableId="2020502771">
    <w:abstractNumId w:val="80"/>
  </w:num>
  <w:num w:numId="40" w16cid:durableId="1851404422">
    <w:abstractNumId w:val="73"/>
  </w:num>
  <w:num w:numId="41" w16cid:durableId="745541236">
    <w:abstractNumId w:val="63"/>
  </w:num>
  <w:num w:numId="42" w16cid:durableId="1701278354">
    <w:abstractNumId w:val="35"/>
  </w:num>
  <w:num w:numId="43" w16cid:durableId="2137328851">
    <w:abstractNumId w:val="38"/>
  </w:num>
  <w:num w:numId="44" w16cid:durableId="1611085350">
    <w:abstractNumId w:val="42"/>
  </w:num>
  <w:num w:numId="45" w16cid:durableId="169610300">
    <w:abstractNumId w:val="78"/>
  </w:num>
  <w:num w:numId="46" w16cid:durableId="510224157">
    <w:abstractNumId w:val="17"/>
  </w:num>
  <w:num w:numId="47" w16cid:durableId="289670155">
    <w:abstractNumId w:val="90"/>
  </w:num>
  <w:num w:numId="48" w16cid:durableId="914583439">
    <w:abstractNumId w:val="72"/>
  </w:num>
  <w:num w:numId="49" w16cid:durableId="1395471696">
    <w:abstractNumId w:val="107"/>
  </w:num>
  <w:num w:numId="50" w16cid:durableId="611060444">
    <w:abstractNumId w:val="8"/>
  </w:num>
  <w:num w:numId="51" w16cid:durableId="1564019714">
    <w:abstractNumId w:val="30"/>
  </w:num>
  <w:num w:numId="52" w16cid:durableId="2018654521">
    <w:abstractNumId w:val="84"/>
  </w:num>
  <w:num w:numId="53" w16cid:durableId="1612587041">
    <w:abstractNumId w:val="88"/>
  </w:num>
  <w:num w:numId="54" w16cid:durableId="1847864772">
    <w:abstractNumId w:val="96"/>
  </w:num>
  <w:num w:numId="55" w16cid:durableId="1021199975">
    <w:abstractNumId w:val="11"/>
  </w:num>
  <w:num w:numId="56" w16cid:durableId="2094085599">
    <w:abstractNumId w:val="57"/>
  </w:num>
  <w:num w:numId="57" w16cid:durableId="1879395154">
    <w:abstractNumId w:val="82"/>
  </w:num>
  <w:num w:numId="58" w16cid:durableId="1085031833">
    <w:abstractNumId w:val="10"/>
  </w:num>
  <w:num w:numId="59" w16cid:durableId="1319310168">
    <w:abstractNumId w:val="54"/>
  </w:num>
  <w:num w:numId="60" w16cid:durableId="372968689">
    <w:abstractNumId w:val="49"/>
  </w:num>
  <w:num w:numId="61" w16cid:durableId="1598052128">
    <w:abstractNumId w:val="98"/>
  </w:num>
  <w:num w:numId="62" w16cid:durableId="311564762">
    <w:abstractNumId w:val="50"/>
  </w:num>
  <w:num w:numId="63" w16cid:durableId="1564219956">
    <w:abstractNumId w:val="104"/>
  </w:num>
  <w:num w:numId="64" w16cid:durableId="1240871798">
    <w:abstractNumId w:val="92"/>
  </w:num>
  <w:num w:numId="65" w16cid:durableId="1038507853">
    <w:abstractNumId w:val="51"/>
  </w:num>
  <w:num w:numId="66" w16cid:durableId="711924739">
    <w:abstractNumId w:val="59"/>
  </w:num>
  <w:num w:numId="67" w16cid:durableId="1072390450">
    <w:abstractNumId w:val="81"/>
  </w:num>
  <w:num w:numId="68" w16cid:durableId="650718916">
    <w:abstractNumId w:val="76"/>
  </w:num>
  <w:num w:numId="69" w16cid:durableId="259027228">
    <w:abstractNumId w:val="39"/>
  </w:num>
  <w:num w:numId="70" w16cid:durableId="521746409">
    <w:abstractNumId w:val="94"/>
  </w:num>
  <w:num w:numId="71" w16cid:durableId="1642610408">
    <w:abstractNumId w:val="93"/>
  </w:num>
  <w:num w:numId="72" w16cid:durableId="1645815816">
    <w:abstractNumId w:val="31"/>
  </w:num>
  <w:num w:numId="73" w16cid:durableId="1359548465">
    <w:abstractNumId w:val="25"/>
  </w:num>
  <w:num w:numId="74" w16cid:durableId="1322344471">
    <w:abstractNumId w:val="32"/>
  </w:num>
  <w:num w:numId="75" w16cid:durableId="1921064339">
    <w:abstractNumId w:val="83"/>
  </w:num>
  <w:num w:numId="76" w16cid:durableId="161900139">
    <w:abstractNumId w:val="70"/>
  </w:num>
  <w:num w:numId="77" w16cid:durableId="214703921">
    <w:abstractNumId w:val="28"/>
  </w:num>
  <w:num w:numId="78" w16cid:durableId="317853913">
    <w:abstractNumId w:val="19"/>
  </w:num>
  <w:num w:numId="79" w16cid:durableId="418141768">
    <w:abstractNumId w:val="9"/>
  </w:num>
  <w:num w:numId="80" w16cid:durableId="2117942878">
    <w:abstractNumId w:val="102"/>
  </w:num>
  <w:num w:numId="81" w16cid:durableId="227040620">
    <w:abstractNumId w:val="65"/>
  </w:num>
  <w:num w:numId="82" w16cid:durableId="238558043">
    <w:abstractNumId w:val="24"/>
  </w:num>
  <w:num w:numId="83" w16cid:durableId="1555001007">
    <w:abstractNumId w:val="16"/>
  </w:num>
  <w:num w:numId="84" w16cid:durableId="1698895351">
    <w:abstractNumId w:val="99"/>
  </w:num>
  <w:num w:numId="85" w16cid:durableId="204635537">
    <w:abstractNumId w:val="2"/>
  </w:num>
  <w:num w:numId="86" w16cid:durableId="185339333">
    <w:abstractNumId w:val="89"/>
  </w:num>
  <w:num w:numId="87" w16cid:durableId="2124225558">
    <w:abstractNumId w:val="36"/>
  </w:num>
  <w:num w:numId="88" w16cid:durableId="779027641">
    <w:abstractNumId w:val="61"/>
  </w:num>
  <w:num w:numId="89" w16cid:durableId="416752988">
    <w:abstractNumId w:val="109"/>
  </w:num>
  <w:num w:numId="90" w16cid:durableId="1469518990">
    <w:abstractNumId w:val="106"/>
  </w:num>
  <w:num w:numId="91" w16cid:durableId="1341932611">
    <w:abstractNumId w:val="5"/>
  </w:num>
  <w:num w:numId="92" w16cid:durableId="1063453558">
    <w:abstractNumId w:val="46"/>
  </w:num>
  <w:num w:numId="93" w16cid:durableId="492569533">
    <w:abstractNumId w:val="6"/>
  </w:num>
  <w:num w:numId="94" w16cid:durableId="1178227408">
    <w:abstractNumId w:val="44"/>
  </w:num>
  <w:num w:numId="95" w16cid:durableId="989792465">
    <w:abstractNumId w:val="105"/>
  </w:num>
  <w:num w:numId="96" w16cid:durableId="750129303">
    <w:abstractNumId w:val="37"/>
  </w:num>
  <w:num w:numId="97" w16cid:durableId="1751148697">
    <w:abstractNumId w:val="101"/>
  </w:num>
  <w:num w:numId="98" w16cid:durableId="2025667598">
    <w:abstractNumId w:val="26"/>
  </w:num>
  <w:num w:numId="99" w16cid:durableId="740713684">
    <w:abstractNumId w:val="100"/>
  </w:num>
  <w:num w:numId="100" w16cid:durableId="895244199">
    <w:abstractNumId w:val="77"/>
  </w:num>
  <w:num w:numId="101" w16cid:durableId="1196384538">
    <w:abstractNumId w:val="66"/>
  </w:num>
  <w:num w:numId="102" w16cid:durableId="2137287722">
    <w:abstractNumId w:val="52"/>
  </w:num>
  <w:num w:numId="103" w16cid:durableId="129322472">
    <w:abstractNumId w:val="15"/>
  </w:num>
  <w:num w:numId="104" w16cid:durableId="1819415350">
    <w:abstractNumId w:val="34"/>
  </w:num>
  <w:num w:numId="105" w16cid:durableId="1339653818">
    <w:abstractNumId w:val="0"/>
  </w:num>
  <w:num w:numId="106" w16cid:durableId="883715141">
    <w:abstractNumId w:val="97"/>
  </w:num>
  <w:num w:numId="107" w16cid:durableId="977297833">
    <w:abstractNumId w:val="86"/>
  </w:num>
  <w:num w:numId="108" w16cid:durableId="2090998398">
    <w:abstractNumId w:val="4"/>
  </w:num>
  <w:num w:numId="109" w16cid:durableId="1088766975">
    <w:abstractNumId w:val="14"/>
  </w:num>
  <w:num w:numId="110" w16cid:durableId="1233736048">
    <w:abstractNumId w:val="27"/>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saghir, Lamya">
    <w15:presenceInfo w15:providerId="AD" w15:userId="S::lamya.essaghir@caissedesdepots.fr::1708e4cf-12a7-4a6b-a4b5-220cf8d5d9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3A86"/>
    <w:rsid w:val="00026C5C"/>
    <w:rsid w:val="00026E49"/>
    <w:rsid w:val="000272D9"/>
    <w:rsid w:val="00030202"/>
    <w:rsid w:val="00031687"/>
    <w:rsid w:val="0003739E"/>
    <w:rsid w:val="0004057C"/>
    <w:rsid w:val="000410A3"/>
    <w:rsid w:val="000420D0"/>
    <w:rsid w:val="00044971"/>
    <w:rsid w:val="00045810"/>
    <w:rsid w:val="00047E7B"/>
    <w:rsid w:val="00053275"/>
    <w:rsid w:val="00053AB7"/>
    <w:rsid w:val="00055CC6"/>
    <w:rsid w:val="00056670"/>
    <w:rsid w:val="0005677F"/>
    <w:rsid w:val="00060577"/>
    <w:rsid w:val="00060906"/>
    <w:rsid w:val="00064CCA"/>
    <w:rsid w:val="00065469"/>
    <w:rsid w:val="00066E0B"/>
    <w:rsid w:val="0007067F"/>
    <w:rsid w:val="000777F0"/>
    <w:rsid w:val="00083D51"/>
    <w:rsid w:val="000858F4"/>
    <w:rsid w:val="00090CD3"/>
    <w:rsid w:val="00093610"/>
    <w:rsid w:val="000948BE"/>
    <w:rsid w:val="000A1F6D"/>
    <w:rsid w:val="000A267E"/>
    <w:rsid w:val="000A3EFA"/>
    <w:rsid w:val="000A55BB"/>
    <w:rsid w:val="000B12DB"/>
    <w:rsid w:val="000B1685"/>
    <w:rsid w:val="000B33CD"/>
    <w:rsid w:val="000B513F"/>
    <w:rsid w:val="000B6D15"/>
    <w:rsid w:val="000B7AD9"/>
    <w:rsid w:val="000C2A85"/>
    <w:rsid w:val="000C2FCE"/>
    <w:rsid w:val="000C39DC"/>
    <w:rsid w:val="000C5636"/>
    <w:rsid w:val="000C6CBA"/>
    <w:rsid w:val="000D18CA"/>
    <w:rsid w:val="000D70D0"/>
    <w:rsid w:val="000E0248"/>
    <w:rsid w:val="000E095F"/>
    <w:rsid w:val="000E473D"/>
    <w:rsid w:val="000E555E"/>
    <w:rsid w:val="000E76EF"/>
    <w:rsid w:val="000F07FD"/>
    <w:rsid w:val="000F0BCE"/>
    <w:rsid w:val="000F2FEB"/>
    <w:rsid w:val="000F3562"/>
    <w:rsid w:val="000F3970"/>
    <w:rsid w:val="000F5D86"/>
    <w:rsid w:val="000F7908"/>
    <w:rsid w:val="00103476"/>
    <w:rsid w:val="0010385E"/>
    <w:rsid w:val="00113877"/>
    <w:rsid w:val="00113CB7"/>
    <w:rsid w:val="00116FEA"/>
    <w:rsid w:val="00117ADF"/>
    <w:rsid w:val="001234CA"/>
    <w:rsid w:val="00134CB9"/>
    <w:rsid w:val="00135E6F"/>
    <w:rsid w:val="001366FE"/>
    <w:rsid w:val="00142408"/>
    <w:rsid w:val="00142681"/>
    <w:rsid w:val="0014552C"/>
    <w:rsid w:val="00146F67"/>
    <w:rsid w:val="00147D38"/>
    <w:rsid w:val="00152882"/>
    <w:rsid w:val="00153E55"/>
    <w:rsid w:val="001562F4"/>
    <w:rsid w:val="00157183"/>
    <w:rsid w:val="00160CA0"/>
    <w:rsid w:val="00162FEB"/>
    <w:rsid w:val="00164DF6"/>
    <w:rsid w:val="00165488"/>
    <w:rsid w:val="001730B1"/>
    <w:rsid w:val="00184B50"/>
    <w:rsid w:val="00186654"/>
    <w:rsid w:val="00191C45"/>
    <w:rsid w:val="00191EC5"/>
    <w:rsid w:val="001934FC"/>
    <w:rsid w:val="00195439"/>
    <w:rsid w:val="001965E4"/>
    <w:rsid w:val="001A25AA"/>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5F"/>
    <w:rsid w:val="001D4AF5"/>
    <w:rsid w:val="001D533B"/>
    <w:rsid w:val="001D65E4"/>
    <w:rsid w:val="001E1E10"/>
    <w:rsid w:val="001E3185"/>
    <w:rsid w:val="001E6F83"/>
    <w:rsid w:val="001E75CD"/>
    <w:rsid w:val="001E7A51"/>
    <w:rsid w:val="001E7DDA"/>
    <w:rsid w:val="001F01E5"/>
    <w:rsid w:val="001F220D"/>
    <w:rsid w:val="001F4A5D"/>
    <w:rsid w:val="00204180"/>
    <w:rsid w:val="0020473E"/>
    <w:rsid w:val="00215AC3"/>
    <w:rsid w:val="00216896"/>
    <w:rsid w:val="002222E9"/>
    <w:rsid w:val="0022253F"/>
    <w:rsid w:val="00224656"/>
    <w:rsid w:val="002254E8"/>
    <w:rsid w:val="002263DB"/>
    <w:rsid w:val="00230760"/>
    <w:rsid w:val="00231EC3"/>
    <w:rsid w:val="00232C43"/>
    <w:rsid w:val="00235710"/>
    <w:rsid w:val="00241AC8"/>
    <w:rsid w:val="00242738"/>
    <w:rsid w:val="00245C0D"/>
    <w:rsid w:val="00246713"/>
    <w:rsid w:val="00247582"/>
    <w:rsid w:val="002542F3"/>
    <w:rsid w:val="002565D0"/>
    <w:rsid w:val="002613B1"/>
    <w:rsid w:val="002617CA"/>
    <w:rsid w:val="00261B77"/>
    <w:rsid w:val="00262BDC"/>
    <w:rsid w:val="0026773E"/>
    <w:rsid w:val="0026784E"/>
    <w:rsid w:val="00270068"/>
    <w:rsid w:val="002711E4"/>
    <w:rsid w:val="00273B6C"/>
    <w:rsid w:val="002772D4"/>
    <w:rsid w:val="00281A4C"/>
    <w:rsid w:val="00281ADF"/>
    <w:rsid w:val="00286BBE"/>
    <w:rsid w:val="00290165"/>
    <w:rsid w:val="00290749"/>
    <w:rsid w:val="00292508"/>
    <w:rsid w:val="00292F8A"/>
    <w:rsid w:val="0029463B"/>
    <w:rsid w:val="002957BC"/>
    <w:rsid w:val="00297A22"/>
    <w:rsid w:val="002A0967"/>
    <w:rsid w:val="002A26AB"/>
    <w:rsid w:val="002A59DF"/>
    <w:rsid w:val="002A7902"/>
    <w:rsid w:val="002B0171"/>
    <w:rsid w:val="002B1348"/>
    <w:rsid w:val="002B13FD"/>
    <w:rsid w:val="002B3989"/>
    <w:rsid w:val="002B4CA4"/>
    <w:rsid w:val="002B50A7"/>
    <w:rsid w:val="002B5355"/>
    <w:rsid w:val="002B672E"/>
    <w:rsid w:val="002B67BD"/>
    <w:rsid w:val="002B6D80"/>
    <w:rsid w:val="002B73B9"/>
    <w:rsid w:val="002B7504"/>
    <w:rsid w:val="002C4FA7"/>
    <w:rsid w:val="002C59EE"/>
    <w:rsid w:val="002D1DC8"/>
    <w:rsid w:val="002D2353"/>
    <w:rsid w:val="002D346A"/>
    <w:rsid w:val="002E13D9"/>
    <w:rsid w:val="002F3770"/>
    <w:rsid w:val="002F64AA"/>
    <w:rsid w:val="002F6685"/>
    <w:rsid w:val="00300B89"/>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58E"/>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A5EC1"/>
    <w:rsid w:val="003B2D79"/>
    <w:rsid w:val="003B3231"/>
    <w:rsid w:val="003B5426"/>
    <w:rsid w:val="003B79D6"/>
    <w:rsid w:val="003C0F80"/>
    <w:rsid w:val="003C6981"/>
    <w:rsid w:val="003D6E85"/>
    <w:rsid w:val="003D6F94"/>
    <w:rsid w:val="003E0B78"/>
    <w:rsid w:val="003E12D5"/>
    <w:rsid w:val="003E34ED"/>
    <w:rsid w:val="003E5569"/>
    <w:rsid w:val="003E7325"/>
    <w:rsid w:val="003E778F"/>
    <w:rsid w:val="003F34EE"/>
    <w:rsid w:val="003F3FD6"/>
    <w:rsid w:val="003F508C"/>
    <w:rsid w:val="003F58B6"/>
    <w:rsid w:val="00400063"/>
    <w:rsid w:val="00400F43"/>
    <w:rsid w:val="00401B84"/>
    <w:rsid w:val="00401BCF"/>
    <w:rsid w:val="00405E06"/>
    <w:rsid w:val="004127D3"/>
    <w:rsid w:val="004148FF"/>
    <w:rsid w:val="00414A9E"/>
    <w:rsid w:val="00414B36"/>
    <w:rsid w:val="00416914"/>
    <w:rsid w:val="004175ED"/>
    <w:rsid w:val="0041779F"/>
    <w:rsid w:val="0042241C"/>
    <w:rsid w:val="004237FD"/>
    <w:rsid w:val="004243C7"/>
    <w:rsid w:val="00424CC0"/>
    <w:rsid w:val="00425755"/>
    <w:rsid w:val="00426444"/>
    <w:rsid w:val="00430898"/>
    <w:rsid w:val="00435B83"/>
    <w:rsid w:val="004361DE"/>
    <w:rsid w:val="0043729B"/>
    <w:rsid w:val="00440352"/>
    <w:rsid w:val="00440412"/>
    <w:rsid w:val="00441778"/>
    <w:rsid w:val="00441B9C"/>
    <w:rsid w:val="00451710"/>
    <w:rsid w:val="00452029"/>
    <w:rsid w:val="0045468C"/>
    <w:rsid w:val="00457C12"/>
    <w:rsid w:val="0046037E"/>
    <w:rsid w:val="0046094D"/>
    <w:rsid w:val="00461C79"/>
    <w:rsid w:val="0046480D"/>
    <w:rsid w:val="004720C5"/>
    <w:rsid w:val="00472BD2"/>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C5976"/>
    <w:rsid w:val="004C71AB"/>
    <w:rsid w:val="004D18B8"/>
    <w:rsid w:val="004D3B3D"/>
    <w:rsid w:val="004D4C18"/>
    <w:rsid w:val="004D5E3B"/>
    <w:rsid w:val="004D63EA"/>
    <w:rsid w:val="004E0509"/>
    <w:rsid w:val="004E2622"/>
    <w:rsid w:val="004F057E"/>
    <w:rsid w:val="004F0681"/>
    <w:rsid w:val="004F3E58"/>
    <w:rsid w:val="004F7A69"/>
    <w:rsid w:val="0050122A"/>
    <w:rsid w:val="00502C98"/>
    <w:rsid w:val="00506918"/>
    <w:rsid w:val="00507602"/>
    <w:rsid w:val="00510EB4"/>
    <w:rsid w:val="00513361"/>
    <w:rsid w:val="00523069"/>
    <w:rsid w:val="00530B6B"/>
    <w:rsid w:val="0053244C"/>
    <w:rsid w:val="00532F7B"/>
    <w:rsid w:val="005356E4"/>
    <w:rsid w:val="0053615F"/>
    <w:rsid w:val="0053699B"/>
    <w:rsid w:val="00537600"/>
    <w:rsid w:val="0053783E"/>
    <w:rsid w:val="0054098C"/>
    <w:rsid w:val="005414A7"/>
    <w:rsid w:val="005423D8"/>
    <w:rsid w:val="00544BBA"/>
    <w:rsid w:val="0054628F"/>
    <w:rsid w:val="00547309"/>
    <w:rsid w:val="00551539"/>
    <w:rsid w:val="0055376C"/>
    <w:rsid w:val="0055459F"/>
    <w:rsid w:val="005563B2"/>
    <w:rsid w:val="0055649E"/>
    <w:rsid w:val="00557223"/>
    <w:rsid w:val="00560A77"/>
    <w:rsid w:val="0056426D"/>
    <w:rsid w:val="0056520D"/>
    <w:rsid w:val="00567837"/>
    <w:rsid w:val="00572E96"/>
    <w:rsid w:val="00573988"/>
    <w:rsid w:val="005747D3"/>
    <w:rsid w:val="00580494"/>
    <w:rsid w:val="00581549"/>
    <w:rsid w:val="0058205F"/>
    <w:rsid w:val="00584E69"/>
    <w:rsid w:val="0058602F"/>
    <w:rsid w:val="0059104A"/>
    <w:rsid w:val="00591DC4"/>
    <w:rsid w:val="005938EE"/>
    <w:rsid w:val="0059694C"/>
    <w:rsid w:val="005A2E8F"/>
    <w:rsid w:val="005A4C1D"/>
    <w:rsid w:val="005A5F12"/>
    <w:rsid w:val="005B152F"/>
    <w:rsid w:val="005B3CC3"/>
    <w:rsid w:val="005B4279"/>
    <w:rsid w:val="005B640A"/>
    <w:rsid w:val="005B6824"/>
    <w:rsid w:val="005B6E83"/>
    <w:rsid w:val="005B6F94"/>
    <w:rsid w:val="005C34C9"/>
    <w:rsid w:val="005C5F21"/>
    <w:rsid w:val="005C7545"/>
    <w:rsid w:val="005C7D68"/>
    <w:rsid w:val="005D089A"/>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04E5"/>
    <w:rsid w:val="00632457"/>
    <w:rsid w:val="00634414"/>
    <w:rsid w:val="00636F4C"/>
    <w:rsid w:val="00637B31"/>
    <w:rsid w:val="00637B69"/>
    <w:rsid w:val="00641164"/>
    <w:rsid w:val="00641311"/>
    <w:rsid w:val="00641FD1"/>
    <w:rsid w:val="006445E9"/>
    <w:rsid w:val="00651728"/>
    <w:rsid w:val="00652308"/>
    <w:rsid w:val="00653275"/>
    <w:rsid w:val="0065361C"/>
    <w:rsid w:val="0065378F"/>
    <w:rsid w:val="00654F59"/>
    <w:rsid w:val="006556CE"/>
    <w:rsid w:val="00655AF1"/>
    <w:rsid w:val="00657AE4"/>
    <w:rsid w:val="00661DFC"/>
    <w:rsid w:val="00664C7B"/>
    <w:rsid w:val="00666BD7"/>
    <w:rsid w:val="00666DD3"/>
    <w:rsid w:val="0067399A"/>
    <w:rsid w:val="00677B92"/>
    <w:rsid w:val="006805AA"/>
    <w:rsid w:val="00683FD7"/>
    <w:rsid w:val="0068520B"/>
    <w:rsid w:val="00686E49"/>
    <w:rsid w:val="0068731D"/>
    <w:rsid w:val="006905CE"/>
    <w:rsid w:val="00690B81"/>
    <w:rsid w:val="00691115"/>
    <w:rsid w:val="00692303"/>
    <w:rsid w:val="006947FC"/>
    <w:rsid w:val="0069498E"/>
    <w:rsid w:val="0069786F"/>
    <w:rsid w:val="006A1916"/>
    <w:rsid w:val="006A26BA"/>
    <w:rsid w:val="006A2AA5"/>
    <w:rsid w:val="006A7785"/>
    <w:rsid w:val="006A78A4"/>
    <w:rsid w:val="006B085A"/>
    <w:rsid w:val="006B10EF"/>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3E2B"/>
    <w:rsid w:val="006E6B4D"/>
    <w:rsid w:val="006E78F2"/>
    <w:rsid w:val="006E7D4C"/>
    <w:rsid w:val="006F0999"/>
    <w:rsid w:val="006F0D90"/>
    <w:rsid w:val="006F19E9"/>
    <w:rsid w:val="006F3D25"/>
    <w:rsid w:val="006F488F"/>
    <w:rsid w:val="006F5157"/>
    <w:rsid w:val="006F5AC6"/>
    <w:rsid w:val="006F6B5D"/>
    <w:rsid w:val="006F74E3"/>
    <w:rsid w:val="00701CC3"/>
    <w:rsid w:val="00707EB4"/>
    <w:rsid w:val="00711A3C"/>
    <w:rsid w:val="007164DC"/>
    <w:rsid w:val="00717E15"/>
    <w:rsid w:val="00720EA1"/>
    <w:rsid w:val="00721CE1"/>
    <w:rsid w:val="007223F6"/>
    <w:rsid w:val="0072330A"/>
    <w:rsid w:val="00727C0F"/>
    <w:rsid w:val="0073049C"/>
    <w:rsid w:val="0073382A"/>
    <w:rsid w:val="00736200"/>
    <w:rsid w:val="00742F70"/>
    <w:rsid w:val="00745492"/>
    <w:rsid w:val="007463E9"/>
    <w:rsid w:val="00753B7E"/>
    <w:rsid w:val="00753B99"/>
    <w:rsid w:val="00753E54"/>
    <w:rsid w:val="0075482E"/>
    <w:rsid w:val="00757C6B"/>
    <w:rsid w:val="00761D90"/>
    <w:rsid w:val="007651D0"/>
    <w:rsid w:val="00766579"/>
    <w:rsid w:val="007665D1"/>
    <w:rsid w:val="00767B11"/>
    <w:rsid w:val="00771DA8"/>
    <w:rsid w:val="00776FA4"/>
    <w:rsid w:val="00780A8C"/>
    <w:rsid w:val="00781198"/>
    <w:rsid w:val="007855D4"/>
    <w:rsid w:val="00786522"/>
    <w:rsid w:val="0079003E"/>
    <w:rsid w:val="0079538E"/>
    <w:rsid w:val="0079572C"/>
    <w:rsid w:val="007A4268"/>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1CBF"/>
    <w:rsid w:val="007F25D1"/>
    <w:rsid w:val="007F4761"/>
    <w:rsid w:val="00802340"/>
    <w:rsid w:val="00803E1C"/>
    <w:rsid w:val="00804289"/>
    <w:rsid w:val="00806290"/>
    <w:rsid w:val="00806948"/>
    <w:rsid w:val="00825319"/>
    <w:rsid w:val="00827E06"/>
    <w:rsid w:val="00837688"/>
    <w:rsid w:val="008421A9"/>
    <w:rsid w:val="00842A3C"/>
    <w:rsid w:val="00842D0C"/>
    <w:rsid w:val="008472A8"/>
    <w:rsid w:val="00847D27"/>
    <w:rsid w:val="0085319A"/>
    <w:rsid w:val="00855C3E"/>
    <w:rsid w:val="00855E1A"/>
    <w:rsid w:val="00860004"/>
    <w:rsid w:val="0086062F"/>
    <w:rsid w:val="00860B5B"/>
    <w:rsid w:val="008617F8"/>
    <w:rsid w:val="00862FF0"/>
    <w:rsid w:val="00865585"/>
    <w:rsid w:val="008736AC"/>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C1B56"/>
    <w:rsid w:val="008D0425"/>
    <w:rsid w:val="008D0476"/>
    <w:rsid w:val="008D16D6"/>
    <w:rsid w:val="008D1711"/>
    <w:rsid w:val="008D512C"/>
    <w:rsid w:val="008E41AC"/>
    <w:rsid w:val="008E43EA"/>
    <w:rsid w:val="008E4E73"/>
    <w:rsid w:val="008E6B3F"/>
    <w:rsid w:val="008F014A"/>
    <w:rsid w:val="008F3913"/>
    <w:rsid w:val="008F44DD"/>
    <w:rsid w:val="008F62FA"/>
    <w:rsid w:val="008F937E"/>
    <w:rsid w:val="009033C8"/>
    <w:rsid w:val="00904090"/>
    <w:rsid w:val="009044C4"/>
    <w:rsid w:val="009066DC"/>
    <w:rsid w:val="00907A58"/>
    <w:rsid w:val="0091038B"/>
    <w:rsid w:val="00926A0C"/>
    <w:rsid w:val="009271A4"/>
    <w:rsid w:val="00932A05"/>
    <w:rsid w:val="009333E5"/>
    <w:rsid w:val="00933F7C"/>
    <w:rsid w:val="009349AD"/>
    <w:rsid w:val="009351BF"/>
    <w:rsid w:val="00935CAE"/>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7F47"/>
    <w:rsid w:val="0097433C"/>
    <w:rsid w:val="009764D0"/>
    <w:rsid w:val="00987FE4"/>
    <w:rsid w:val="00992CFB"/>
    <w:rsid w:val="00997304"/>
    <w:rsid w:val="009A1387"/>
    <w:rsid w:val="009A318B"/>
    <w:rsid w:val="009A5A74"/>
    <w:rsid w:val="009B1114"/>
    <w:rsid w:val="009B3841"/>
    <w:rsid w:val="009B3BEF"/>
    <w:rsid w:val="009C01B3"/>
    <w:rsid w:val="009C32AB"/>
    <w:rsid w:val="009C7A24"/>
    <w:rsid w:val="009C7B1A"/>
    <w:rsid w:val="009C7C13"/>
    <w:rsid w:val="009D64E0"/>
    <w:rsid w:val="009D6B86"/>
    <w:rsid w:val="009D79AF"/>
    <w:rsid w:val="009E044F"/>
    <w:rsid w:val="009E2903"/>
    <w:rsid w:val="009E35B1"/>
    <w:rsid w:val="009E4216"/>
    <w:rsid w:val="009E4AA8"/>
    <w:rsid w:val="009F428D"/>
    <w:rsid w:val="009F5A18"/>
    <w:rsid w:val="00A02D83"/>
    <w:rsid w:val="00A05CDA"/>
    <w:rsid w:val="00A0755C"/>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3516B"/>
    <w:rsid w:val="00A423CF"/>
    <w:rsid w:val="00A45A5A"/>
    <w:rsid w:val="00A47DC0"/>
    <w:rsid w:val="00A50363"/>
    <w:rsid w:val="00A51975"/>
    <w:rsid w:val="00A5528E"/>
    <w:rsid w:val="00A56746"/>
    <w:rsid w:val="00A60F02"/>
    <w:rsid w:val="00A621A6"/>
    <w:rsid w:val="00A70C73"/>
    <w:rsid w:val="00A710F9"/>
    <w:rsid w:val="00A714B5"/>
    <w:rsid w:val="00A7178E"/>
    <w:rsid w:val="00A724C1"/>
    <w:rsid w:val="00A742A7"/>
    <w:rsid w:val="00A748E7"/>
    <w:rsid w:val="00A74F16"/>
    <w:rsid w:val="00A766E1"/>
    <w:rsid w:val="00A76AA2"/>
    <w:rsid w:val="00A76D1A"/>
    <w:rsid w:val="00A800A8"/>
    <w:rsid w:val="00A80E9F"/>
    <w:rsid w:val="00A82FF3"/>
    <w:rsid w:val="00A83124"/>
    <w:rsid w:val="00A8415C"/>
    <w:rsid w:val="00A84222"/>
    <w:rsid w:val="00A84E24"/>
    <w:rsid w:val="00A874EB"/>
    <w:rsid w:val="00A91A50"/>
    <w:rsid w:val="00A93E46"/>
    <w:rsid w:val="00AA0E66"/>
    <w:rsid w:val="00AA7E70"/>
    <w:rsid w:val="00AB2EB4"/>
    <w:rsid w:val="00AB35F2"/>
    <w:rsid w:val="00AB4BE9"/>
    <w:rsid w:val="00AC31E8"/>
    <w:rsid w:val="00AC4C5D"/>
    <w:rsid w:val="00AC5471"/>
    <w:rsid w:val="00AC7E26"/>
    <w:rsid w:val="00AD0056"/>
    <w:rsid w:val="00AD0DCD"/>
    <w:rsid w:val="00AD2916"/>
    <w:rsid w:val="00AD3C57"/>
    <w:rsid w:val="00AD3D9E"/>
    <w:rsid w:val="00AD7833"/>
    <w:rsid w:val="00AF0775"/>
    <w:rsid w:val="00AF1CA5"/>
    <w:rsid w:val="00AF3D21"/>
    <w:rsid w:val="00AF5209"/>
    <w:rsid w:val="00AF7327"/>
    <w:rsid w:val="00AF7891"/>
    <w:rsid w:val="00B03B65"/>
    <w:rsid w:val="00B043F7"/>
    <w:rsid w:val="00B0618F"/>
    <w:rsid w:val="00B071DF"/>
    <w:rsid w:val="00B1026F"/>
    <w:rsid w:val="00B15FBB"/>
    <w:rsid w:val="00B22A71"/>
    <w:rsid w:val="00B23F71"/>
    <w:rsid w:val="00B2406E"/>
    <w:rsid w:val="00B26044"/>
    <w:rsid w:val="00B27969"/>
    <w:rsid w:val="00B3172B"/>
    <w:rsid w:val="00B335ED"/>
    <w:rsid w:val="00B34CEF"/>
    <w:rsid w:val="00B35741"/>
    <w:rsid w:val="00B35DD8"/>
    <w:rsid w:val="00B37853"/>
    <w:rsid w:val="00B4178B"/>
    <w:rsid w:val="00B4619D"/>
    <w:rsid w:val="00B47375"/>
    <w:rsid w:val="00B51937"/>
    <w:rsid w:val="00B5268E"/>
    <w:rsid w:val="00B57500"/>
    <w:rsid w:val="00B57FD4"/>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A5E5B"/>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BF66B3"/>
    <w:rsid w:val="00C0286F"/>
    <w:rsid w:val="00C0425E"/>
    <w:rsid w:val="00C11896"/>
    <w:rsid w:val="00C1192B"/>
    <w:rsid w:val="00C1242C"/>
    <w:rsid w:val="00C13087"/>
    <w:rsid w:val="00C130B0"/>
    <w:rsid w:val="00C16ED9"/>
    <w:rsid w:val="00C21CBD"/>
    <w:rsid w:val="00C22A18"/>
    <w:rsid w:val="00C245C1"/>
    <w:rsid w:val="00C25F59"/>
    <w:rsid w:val="00C26668"/>
    <w:rsid w:val="00C2670B"/>
    <w:rsid w:val="00C3020C"/>
    <w:rsid w:val="00C34242"/>
    <w:rsid w:val="00C36718"/>
    <w:rsid w:val="00C40E1D"/>
    <w:rsid w:val="00C41BC2"/>
    <w:rsid w:val="00C42DCD"/>
    <w:rsid w:val="00C42F97"/>
    <w:rsid w:val="00C4352D"/>
    <w:rsid w:val="00C44E8A"/>
    <w:rsid w:val="00C45E1C"/>
    <w:rsid w:val="00C47A43"/>
    <w:rsid w:val="00C534BE"/>
    <w:rsid w:val="00C536A5"/>
    <w:rsid w:val="00C54EE9"/>
    <w:rsid w:val="00C6661A"/>
    <w:rsid w:val="00C7314B"/>
    <w:rsid w:val="00C74CE7"/>
    <w:rsid w:val="00C7619D"/>
    <w:rsid w:val="00C76D1C"/>
    <w:rsid w:val="00C77143"/>
    <w:rsid w:val="00C80862"/>
    <w:rsid w:val="00C80D08"/>
    <w:rsid w:val="00C83439"/>
    <w:rsid w:val="00C83615"/>
    <w:rsid w:val="00C8640C"/>
    <w:rsid w:val="00C86A56"/>
    <w:rsid w:val="00C904B9"/>
    <w:rsid w:val="00C929D3"/>
    <w:rsid w:val="00C92DFF"/>
    <w:rsid w:val="00C93F55"/>
    <w:rsid w:val="00C94F88"/>
    <w:rsid w:val="00C964EB"/>
    <w:rsid w:val="00CA2282"/>
    <w:rsid w:val="00CA4660"/>
    <w:rsid w:val="00CB2898"/>
    <w:rsid w:val="00CB54CF"/>
    <w:rsid w:val="00CC0C89"/>
    <w:rsid w:val="00CD484C"/>
    <w:rsid w:val="00CD5F49"/>
    <w:rsid w:val="00CD6AEB"/>
    <w:rsid w:val="00CE6679"/>
    <w:rsid w:val="00CF17E7"/>
    <w:rsid w:val="00CF1FC3"/>
    <w:rsid w:val="00CF65F5"/>
    <w:rsid w:val="00CF7FB5"/>
    <w:rsid w:val="00D019D1"/>
    <w:rsid w:val="00D0644F"/>
    <w:rsid w:val="00D07A88"/>
    <w:rsid w:val="00D11F61"/>
    <w:rsid w:val="00D12698"/>
    <w:rsid w:val="00D1279A"/>
    <w:rsid w:val="00D15C42"/>
    <w:rsid w:val="00D165A8"/>
    <w:rsid w:val="00D20B6F"/>
    <w:rsid w:val="00D226E5"/>
    <w:rsid w:val="00D25983"/>
    <w:rsid w:val="00D26720"/>
    <w:rsid w:val="00D327F3"/>
    <w:rsid w:val="00D33654"/>
    <w:rsid w:val="00D34516"/>
    <w:rsid w:val="00D415C2"/>
    <w:rsid w:val="00D439C1"/>
    <w:rsid w:val="00D45879"/>
    <w:rsid w:val="00D52C29"/>
    <w:rsid w:val="00D552BF"/>
    <w:rsid w:val="00D60916"/>
    <w:rsid w:val="00D613A2"/>
    <w:rsid w:val="00D6612F"/>
    <w:rsid w:val="00D66C41"/>
    <w:rsid w:val="00D66F9C"/>
    <w:rsid w:val="00D679F4"/>
    <w:rsid w:val="00D744C0"/>
    <w:rsid w:val="00D82583"/>
    <w:rsid w:val="00D83A62"/>
    <w:rsid w:val="00D83CA6"/>
    <w:rsid w:val="00D83D8A"/>
    <w:rsid w:val="00D8549C"/>
    <w:rsid w:val="00D855E9"/>
    <w:rsid w:val="00D90C94"/>
    <w:rsid w:val="00D92205"/>
    <w:rsid w:val="00D94F8D"/>
    <w:rsid w:val="00D97377"/>
    <w:rsid w:val="00DA0999"/>
    <w:rsid w:val="00DA2481"/>
    <w:rsid w:val="00DB19DA"/>
    <w:rsid w:val="00DB21AA"/>
    <w:rsid w:val="00DB32FC"/>
    <w:rsid w:val="00DB3E43"/>
    <w:rsid w:val="00DB5702"/>
    <w:rsid w:val="00DB60C2"/>
    <w:rsid w:val="00DB70A5"/>
    <w:rsid w:val="00DD1688"/>
    <w:rsid w:val="00DD209E"/>
    <w:rsid w:val="00DD240C"/>
    <w:rsid w:val="00DD6967"/>
    <w:rsid w:val="00DE0222"/>
    <w:rsid w:val="00DE5BDB"/>
    <w:rsid w:val="00DF2924"/>
    <w:rsid w:val="00DF317B"/>
    <w:rsid w:val="00DF52CF"/>
    <w:rsid w:val="00DF769B"/>
    <w:rsid w:val="00E01A73"/>
    <w:rsid w:val="00E01E28"/>
    <w:rsid w:val="00E04A41"/>
    <w:rsid w:val="00E05650"/>
    <w:rsid w:val="00E067FE"/>
    <w:rsid w:val="00E11018"/>
    <w:rsid w:val="00E12F20"/>
    <w:rsid w:val="00E272A8"/>
    <w:rsid w:val="00E273DE"/>
    <w:rsid w:val="00E30355"/>
    <w:rsid w:val="00E30A7B"/>
    <w:rsid w:val="00E31C15"/>
    <w:rsid w:val="00E34EF5"/>
    <w:rsid w:val="00E37773"/>
    <w:rsid w:val="00E404D1"/>
    <w:rsid w:val="00E47D10"/>
    <w:rsid w:val="00E60C3D"/>
    <w:rsid w:val="00E61F09"/>
    <w:rsid w:val="00E63D99"/>
    <w:rsid w:val="00E64057"/>
    <w:rsid w:val="00E6528C"/>
    <w:rsid w:val="00E666EC"/>
    <w:rsid w:val="00E67E04"/>
    <w:rsid w:val="00E72212"/>
    <w:rsid w:val="00E777B6"/>
    <w:rsid w:val="00E83289"/>
    <w:rsid w:val="00E848F1"/>
    <w:rsid w:val="00E920EF"/>
    <w:rsid w:val="00E97BB1"/>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242E6"/>
    <w:rsid w:val="00F31D8E"/>
    <w:rsid w:val="00F33841"/>
    <w:rsid w:val="00F34B64"/>
    <w:rsid w:val="00F34C6A"/>
    <w:rsid w:val="00F3514B"/>
    <w:rsid w:val="00F4152C"/>
    <w:rsid w:val="00F41F8D"/>
    <w:rsid w:val="00F45812"/>
    <w:rsid w:val="00F458A7"/>
    <w:rsid w:val="00F46004"/>
    <w:rsid w:val="00F52BD1"/>
    <w:rsid w:val="00F548A3"/>
    <w:rsid w:val="00F55D64"/>
    <w:rsid w:val="00F60661"/>
    <w:rsid w:val="00F60FA1"/>
    <w:rsid w:val="00F62F12"/>
    <w:rsid w:val="00F63E61"/>
    <w:rsid w:val="00F644E3"/>
    <w:rsid w:val="00F66AFC"/>
    <w:rsid w:val="00F722CB"/>
    <w:rsid w:val="00F72E5E"/>
    <w:rsid w:val="00F736B6"/>
    <w:rsid w:val="00F73890"/>
    <w:rsid w:val="00F76AA1"/>
    <w:rsid w:val="00F81107"/>
    <w:rsid w:val="00F81CB5"/>
    <w:rsid w:val="00F82B67"/>
    <w:rsid w:val="00F85F69"/>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1F18"/>
    <w:rsid w:val="00FC42C5"/>
    <w:rsid w:val="00FC465D"/>
    <w:rsid w:val="00FC4E8D"/>
    <w:rsid w:val="00FC4FE5"/>
    <w:rsid w:val="00FD2560"/>
    <w:rsid w:val="00FD2802"/>
    <w:rsid w:val="00FD30EB"/>
    <w:rsid w:val="00FD4262"/>
    <w:rsid w:val="00FD701C"/>
    <w:rsid w:val="00FD78DC"/>
    <w:rsid w:val="00FD7B39"/>
    <w:rsid w:val="00FE2D09"/>
    <w:rsid w:val="00FF664E"/>
    <w:rsid w:val="00FF7989"/>
    <w:rsid w:val="011ABDFE"/>
    <w:rsid w:val="023F32CD"/>
    <w:rsid w:val="02DF02FB"/>
    <w:rsid w:val="02EF0151"/>
    <w:rsid w:val="090506BE"/>
    <w:rsid w:val="0AF15370"/>
    <w:rsid w:val="0C597C73"/>
    <w:rsid w:val="0FD6FC5D"/>
    <w:rsid w:val="19630341"/>
    <w:rsid w:val="1AF75F1B"/>
    <w:rsid w:val="1CE92A6F"/>
    <w:rsid w:val="1D5C6B8C"/>
    <w:rsid w:val="1FF5DEED"/>
    <w:rsid w:val="21300D0E"/>
    <w:rsid w:val="26A1821C"/>
    <w:rsid w:val="26F5FC50"/>
    <w:rsid w:val="27C0583F"/>
    <w:rsid w:val="2938767C"/>
    <w:rsid w:val="29CA9724"/>
    <w:rsid w:val="2C057B76"/>
    <w:rsid w:val="2C9EA38B"/>
    <w:rsid w:val="2CEDED55"/>
    <w:rsid w:val="2D59B755"/>
    <w:rsid w:val="2FF8272F"/>
    <w:rsid w:val="30E1DE5E"/>
    <w:rsid w:val="32DFC7BC"/>
    <w:rsid w:val="33E0BFF8"/>
    <w:rsid w:val="3490DFEC"/>
    <w:rsid w:val="35D64D56"/>
    <w:rsid w:val="36239A38"/>
    <w:rsid w:val="3C415261"/>
    <w:rsid w:val="3C512C9C"/>
    <w:rsid w:val="3C97639A"/>
    <w:rsid w:val="3D995037"/>
    <w:rsid w:val="3E2EF8E1"/>
    <w:rsid w:val="3E657B2D"/>
    <w:rsid w:val="4144EE9D"/>
    <w:rsid w:val="441660E8"/>
    <w:rsid w:val="45A935CD"/>
    <w:rsid w:val="48205484"/>
    <w:rsid w:val="485C148F"/>
    <w:rsid w:val="4990348D"/>
    <w:rsid w:val="4AF61F74"/>
    <w:rsid w:val="4B66DC85"/>
    <w:rsid w:val="4CD81B3C"/>
    <w:rsid w:val="4D6BCF83"/>
    <w:rsid w:val="4DBB180A"/>
    <w:rsid w:val="4F7D5E6C"/>
    <w:rsid w:val="4F895DB2"/>
    <w:rsid w:val="4FF63156"/>
    <w:rsid w:val="56A7F407"/>
    <w:rsid w:val="583DE8A1"/>
    <w:rsid w:val="592FD984"/>
    <w:rsid w:val="5C86270B"/>
    <w:rsid w:val="5D11F684"/>
    <w:rsid w:val="5E3958E4"/>
    <w:rsid w:val="5E9FF0F3"/>
    <w:rsid w:val="63DD67D2"/>
    <w:rsid w:val="655E5153"/>
    <w:rsid w:val="659BDD1F"/>
    <w:rsid w:val="6666CFCD"/>
    <w:rsid w:val="66EB7074"/>
    <w:rsid w:val="6769E1E0"/>
    <w:rsid w:val="68D6AFD4"/>
    <w:rsid w:val="69F89177"/>
    <w:rsid w:val="6A694CE9"/>
    <w:rsid w:val="6AD06297"/>
    <w:rsid w:val="6B1170D2"/>
    <w:rsid w:val="703B327D"/>
    <w:rsid w:val="715D5038"/>
    <w:rsid w:val="72C00F25"/>
    <w:rsid w:val="7316CC0A"/>
    <w:rsid w:val="737AA117"/>
    <w:rsid w:val="754A9F20"/>
    <w:rsid w:val="767E5651"/>
    <w:rsid w:val="784586F0"/>
    <w:rsid w:val="790EC4D5"/>
    <w:rsid w:val="7DF4E251"/>
    <w:rsid w:val="7E1FBD8A"/>
    <w:rsid w:val="7F42BB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B9F633A4-B6F7-4563-A23D-FA2554B9A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styleId="NormalWeb">
    <w:name w:val="Normal (Web)"/>
    <w:basedOn w:val="Normal"/>
    <w:uiPriority w:val="99"/>
    <w:semiHidden/>
    <w:unhideWhenUsed/>
    <w:rsid w:val="00637B31"/>
    <w:pPr>
      <w:spacing w:before="100" w:beforeAutospacing="1" w:after="100" w:afterAutospacing="1" w:line="240" w:lineRule="auto"/>
    </w:pPr>
    <w:rPr>
      <w:rFonts w:ascii="Calibri" w:hAnsi="Calibri" w:cs="Calibri"/>
      <w:lang w:eastAsia="fr-FR"/>
    </w:rPr>
  </w:style>
  <w:style w:type="character" w:customStyle="1" w:styleId="ParagraphedelisteCar">
    <w:name w:val="Paragraphe de liste Car"/>
    <w:aliases w:val="Paragraphe Car,Style petit bullet violet Car"/>
    <w:link w:val="Paragraphedeliste"/>
    <w:uiPriority w:val="34"/>
    <w:locked/>
    <w:rsid w:val="006F0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255135627">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629357365">
      <w:bodyDiv w:val="1"/>
      <w:marLeft w:val="0"/>
      <w:marRight w:val="0"/>
      <w:marTop w:val="0"/>
      <w:marBottom w:val="0"/>
      <w:divBdr>
        <w:top w:val="none" w:sz="0" w:space="0" w:color="auto"/>
        <w:left w:val="none" w:sz="0" w:space="0" w:color="auto"/>
        <w:bottom w:val="none" w:sz="0" w:space="0" w:color="auto"/>
        <w:right w:val="none" w:sz="0" w:space="0" w:color="auto"/>
      </w:divBdr>
    </w:div>
    <w:div w:id="740757986">
      <w:bodyDiv w:val="1"/>
      <w:marLeft w:val="0"/>
      <w:marRight w:val="0"/>
      <w:marTop w:val="0"/>
      <w:marBottom w:val="0"/>
      <w:divBdr>
        <w:top w:val="none" w:sz="0" w:space="0" w:color="auto"/>
        <w:left w:val="none" w:sz="0" w:space="0" w:color="auto"/>
        <w:bottom w:val="none" w:sz="0" w:space="0" w:color="auto"/>
        <w:right w:val="none" w:sz="0" w:space="0" w:color="auto"/>
      </w:divBdr>
    </w:div>
    <w:div w:id="800541853">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962344370">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143430608">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252216">
      <w:bodyDiv w:val="1"/>
      <w:marLeft w:val="0"/>
      <w:marRight w:val="0"/>
      <w:marTop w:val="0"/>
      <w:marBottom w:val="0"/>
      <w:divBdr>
        <w:top w:val="none" w:sz="0" w:space="0" w:color="auto"/>
        <w:left w:val="none" w:sz="0" w:space="0" w:color="auto"/>
        <w:bottom w:val="none" w:sz="0" w:space="0" w:color="auto"/>
        <w:right w:val="none" w:sz="0" w:space="0" w:color="auto"/>
      </w:divBdr>
    </w:div>
    <w:div w:id="1725057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dataprivacyframework.gov/list"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commission.europa.eu/law/law-topic/data-protection/international-dimension-data-protection/eu-us-data-transfers_en"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edpb.europa.eu/our-work-tools/documents/public-consultations/2020/recommendations-012020-measures-supplement_fr" TargetMode="External"/><Relationship Id="rId5" Type="http://schemas.openxmlformats.org/officeDocument/2006/relationships/hyperlink" Target="https://www.cnil.fr/fr/la-protection-des-donnees-dans-le-monde" TargetMode="External"/><Relationship Id="rId4" Type="http://schemas.openxmlformats.org/officeDocument/2006/relationships/hyperlink" Target="https://eur-lex.europa.eu/eli/dec_impl/2021/914/oj?uri=CELEX:32021D0914&amp;loca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7060ED8184614C826211D53C04367D" ma:contentTypeVersion="22" ma:contentTypeDescription="Crée un document." ma:contentTypeScope="" ma:versionID="df8894960c54b8676baca9267aeb99ee">
  <xsd:schema xmlns:xsd="http://www.w3.org/2001/XMLSchema" xmlns:xs="http://www.w3.org/2001/XMLSchema" xmlns:p="http://schemas.microsoft.com/office/2006/metadata/properties" xmlns:ns1="http://schemas.microsoft.com/sharepoint/v3" xmlns:ns2="8ebdb8ef-551f-4327-9b37-e65c24c4e2c0" xmlns:ns3="e53897ee-2ca4-493a-ad35-85684ab5833a" targetNamespace="http://schemas.microsoft.com/office/2006/metadata/properties" ma:root="true" ma:fieldsID="58f1cf98db9b47fffb78beaf561939c7" ns1:_="" ns2:_="" ns3:_="">
    <xsd:import namespace="http://schemas.microsoft.com/sharepoint/v3"/>
    <xsd:import namespace="8ebdb8ef-551f-4327-9b37-e65c24c4e2c0"/>
    <xsd:import namespace="e53897ee-2ca4-493a-ad35-85684ab583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Personne"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db8ef-551f-4327-9b37-e65c24c4e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Personne" ma:index="17" nillable="true" ma:displayName="Personne" ma:description="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48d3731c-fd19-4153-ae36-0ac1057ead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3897ee-2ca4-493a-ad35-85684ab5833a"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da5d09f0-cbc2-426b-a640-b9b811cfcbab}" ma:internalName="TaxCatchAll" ma:showField="CatchAllData" ma:web="e53897ee-2ca4-493a-ad35-85684ab5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ebdb8ef-551f-4327-9b37-e65c24c4e2c0">
      <Terms xmlns="http://schemas.microsoft.com/office/infopath/2007/PartnerControls"/>
    </lcf76f155ced4ddcb4097134ff3c332f>
    <TaxCatchAll xmlns="e53897ee-2ca4-493a-ad35-85684ab5833a" xsi:nil="true"/>
    <_ip_UnifiedCompliancePolicyProperties xmlns="http://schemas.microsoft.com/sharepoint/v3" xsi:nil="true"/>
    <Personne xmlns="8ebdb8ef-551f-4327-9b37-e65c24c4e2c0">
      <UserInfo>
        <DisplayName/>
        <AccountId xsi:nil="true"/>
        <AccountType/>
      </UserInfo>
    </Personn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181DA-BDEF-4EFE-BA6D-9025CD0C9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bdb8ef-551f-4327-9b37-e65c24c4e2c0"/>
    <ds:schemaRef ds:uri="e53897ee-2ca4-493a-ad35-85684ab58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C4F07C-365F-4C32-851A-90A2CDB82AE4}">
  <ds:schemaRefs>
    <ds:schemaRef ds:uri="http://schemas.microsoft.com/sharepoint/v3"/>
    <ds:schemaRef ds:uri="8ebdb8ef-551f-4327-9b37-e65c24c4e2c0"/>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e53897ee-2ca4-493a-ad35-85684ab5833a"/>
    <ds:schemaRef ds:uri="http://schemas.microsoft.com/office/2006/metadata/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4.xml><?xml version="1.0" encoding="utf-8"?>
<ds:datastoreItem xmlns:ds="http://schemas.openxmlformats.org/officeDocument/2006/customXml" ds:itemID="{C8E90AD6-D405-4CF9-85E4-11593974D4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8712</Words>
  <Characters>47917</Characters>
  <Application>Microsoft Office Word</Application>
  <DocSecurity>0</DocSecurity>
  <Lines>399</Lines>
  <Paragraphs>113</Paragraphs>
  <ScaleCrop>false</ScaleCrop>
  <Company/>
  <LinksUpToDate>false</LinksUpToDate>
  <CharactersWithSpaces>56516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Essaghir, Lamya</cp:lastModifiedBy>
  <cp:revision>20</cp:revision>
  <cp:lastPrinted>2024-04-25T17:33:00Z</cp:lastPrinted>
  <dcterms:created xsi:type="dcterms:W3CDTF">2025-05-28T11:48:00Z</dcterms:created>
  <dcterms:modified xsi:type="dcterms:W3CDTF">2025-06-02T10:13:00Z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0x010100137060ED8184614C826211D53C04367D</vt:lpwstr>
  </property>
  <property fmtid="{D5CDD505-2E9C-101B-9397-08002B2CF9AE}" pid="10" name="MediaServiceImageTags">
    <vt:lpwstr/>
  </property>
</Properties>
</file>